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30D8" w14:textId="1BD79B0C" w:rsidR="003B1FDD" w:rsidRDefault="00176576" w:rsidP="00824334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</w:pPr>
      <w:r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Notification t</w:t>
      </w:r>
      <w:r w:rsidR="00A55425" w:rsidRPr="0082433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emplate for national macroprudential measures</w:t>
      </w:r>
      <w:r w:rsidR="00A55425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not covered by </w:t>
      </w:r>
      <w:r w:rsidR="004B4C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of the </w:t>
      </w:r>
      <w:r w:rsidR="004B4C91" w:rsidRP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Capital Requirements Regulation (</w:t>
      </w:r>
      <w:r w:rsidR="004B4C91" w:rsidRPr="00F33E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CRR</w:t>
      </w:r>
      <w:r w:rsidR="004B4C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)</w:t>
      </w:r>
      <w:r w:rsidR="00A55425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/</w:t>
      </w:r>
      <w:r w:rsidR="004B4C91" w:rsidRPr="004B4C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</w:t>
      </w:r>
      <w:r w:rsidR="004B4C91" w:rsidRPr="009247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Capital Requirements Directives (</w:t>
      </w:r>
      <w:r w:rsidR="004B4C91" w:rsidRPr="00146596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CRD</w:t>
      </w:r>
      <w:r w:rsidR="004B4C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)</w:t>
      </w:r>
      <w:r w:rsidR="001B5AB6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(other than borrower-based measures)</w:t>
      </w:r>
    </w:p>
    <w:p w14:paraId="41089AAC" w14:textId="406032FE" w:rsidR="00FE45FB" w:rsidRDefault="00CB4F65" w:rsidP="00A907D5">
      <w:pPr>
        <w:keepNext/>
        <w:spacing w:before="240" w:after="0"/>
        <w:jc w:val="both"/>
        <w:outlineLvl w:val="0"/>
        <w:rPr>
          <w:rFonts w:ascii="Arial" w:eastAsia="Times New Roman" w:hAnsi="Arial" w:cs="Arial"/>
          <w:sz w:val="20"/>
          <w:lang w:eastAsia="en-GB"/>
        </w:rPr>
      </w:pPr>
      <w:r>
        <w:rPr>
          <w:rFonts w:ascii="Arial" w:eastAsia="Times New Roman" w:hAnsi="Arial" w:cs="Arial"/>
          <w:sz w:val="20"/>
          <w:lang w:eastAsia="en-GB"/>
        </w:rPr>
        <w:t>Please upload this template</w:t>
      </w:r>
      <w:r w:rsidR="008A2C47">
        <w:rPr>
          <w:rFonts w:ascii="Arial" w:eastAsia="Times New Roman" w:hAnsi="Arial" w:cs="Arial"/>
          <w:sz w:val="20"/>
          <w:lang w:eastAsia="en-GB"/>
        </w:rPr>
        <w:t xml:space="preserve"> to</w:t>
      </w:r>
    </w:p>
    <w:p w14:paraId="3B2A4591" w14:textId="3963EEFB" w:rsidR="00D50067" w:rsidRPr="00D50067" w:rsidRDefault="00E5079E" w:rsidP="00A907D5">
      <w:pPr>
        <w:pStyle w:val="ListParagraph"/>
        <w:keepNext/>
        <w:numPr>
          <w:ilvl w:val="0"/>
          <w:numId w:val="4"/>
        </w:numPr>
        <w:spacing w:before="60" w:after="60"/>
        <w:ind w:left="714" w:hanging="357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7" w:history="1">
        <w:r w:rsidR="00D50067" w:rsidRPr="0020479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="00D50067" w:rsidRPr="00FE45FB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</w:t>
      </w:r>
      <w:r w:rsidR="004B4C91" w:rsidRPr="004B4C91">
        <w:rPr>
          <w:rFonts w:ascii="Arial" w:eastAsia="Times New Roman" w:hAnsi="Arial" w:cs="Arial"/>
          <w:sz w:val="20"/>
          <w:szCs w:val="20"/>
          <w:lang w:eastAsia="en-GB"/>
        </w:rPr>
        <w:t>European Central Bank (ECB)</w:t>
      </w:r>
      <w:r w:rsidR="00D50067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01C4BDCE" w14:textId="60EE203E" w:rsidR="00FE45FB" w:rsidRPr="004B4C91" w:rsidRDefault="00E5079E" w:rsidP="00D50067">
      <w:pPr>
        <w:pStyle w:val="ListParagraph"/>
        <w:keepNext/>
        <w:numPr>
          <w:ilvl w:val="0"/>
          <w:numId w:val="4"/>
        </w:numPr>
        <w:spacing w:before="60" w:after="60"/>
        <w:ind w:left="714" w:hanging="357"/>
        <w:jc w:val="both"/>
        <w:outlineLvl w:val="0"/>
        <w:rPr>
          <w:rFonts w:ascii="Arial" w:hAnsi="Arial" w:cs="Arial"/>
          <w:sz w:val="20"/>
          <w:szCs w:val="20"/>
        </w:rPr>
      </w:pPr>
      <w:hyperlink r:id="rId8" w:history="1">
        <w:r w:rsidR="002F3DCD">
          <w:rPr>
            <w:rStyle w:val="Hyperlink"/>
            <w:rFonts w:ascii="Arial" w:hAnsi="Arial" w:cs="Arial"/>
            <w:sz w:val="20"/>
            <w:szCs w:val="20"/>
          </w:rPr>
          <w:t>notifications@</w:t>
        </w:r>
        <w:r w:rsidR="002F3DCD">
          <w:rPr>
            <w:rStyle w:val="Hyperlink"/>
            <w:rFonts w:ascii="Arial" w:hAnsi="Arial" w:cs="Arial"/>
            <w:bCs/>
            <w:sz w:val="20"/>
            <w:szCs w:val="20"/>
          </w:rPr>
          <w:t>esrb</w:t>
        </w:r>
        <w:r w:rsidR="002F3DCD">
          <w:rPr>
            <w:rStyle w:val="Hyperlink"/>
            <w:rFonts w:ascii="Arial" w:hAnsi="Arial" w:cs="Arial"/>
            <w:sz w:val="20"/>
            <w:szCs w:val="20"/>
          </w:rPr>
          <w:t>.europa.eu</w:t>
        </w:r>
      </w:hyperlink>
      <w:r w:rsidR="002F3DCD">
        <w:rPr>
          <w:rFonts w:ascii="Arial" w:hAnsi="Arial" w:cs="Arial"/>
          <w:sz w:val="20"/>
          <w:szCs w:val="20"/>
        </w:rPr>
        <w:t xml:space="preserve"> </w:t>
      </w:r>
      <w:r w:rsidR="00DC01F1">
        <w:rPr>
          <w:rFonts w:ascii="Arial" w:hAnsi="Arial" w:cs="Arial"/>
          <w:sz w:val="20"/>
          <w:szCs w:val="20"/>
        </w:rPr>
        <w:t xml:space="preserve">when notifying the </w:t>
      </w:r>
      <w:r w:rsidR="004B4C91" w:rsidRPr="004B4C91">
        <w:rPr>
          <w:rFonts w:ascii="Arial" w:hAnsi="Arial" w:cs="Arial"/>
          <w:sz w:val="20"/>
          <w:szCs w:val="20"/>
        </w:rPr>
        <w:t>European Systemic Risk Board (ESRB)</w:t>
      </w:r>
      <w:r w:rsidR="00D50067">
        <w:rPr>
          <w:rFonts w:ascii="Arial" w:hAnsi="Arial" w:cs="Arial"/>
          <w:sz w:val="20"/>
          <w:szCs w:val="20"/>
        </w:rPr>
        <w:t>.</w:t>
      </w:r>
    </w:p>
    <w:p w14:paraId="75B46F39" w14:textId="4ADF8DC2" w:rsidR="009F2C12" w:rsidRDefault="009F2C12" w:rsidP="00753A93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72148274"/>
      <w:r w:rsidRPr="009F2C12">
        <w:rPr>
          <w:rFonts w:ascii="Arial" w:eastAsia="Times New Roman" w:hAnsi="Arial" w:cs="Arial"/>
          <w:sz w:val="20"/>
          <w:szCs w:val="20"/>
          <w:lang w:eastAsia="en-GB"/>
        </w:rPr>
        <w:t xml:space="preserve">This notification will be made public by the ESRB </w:t>
      </w:r>
      <w:r w:rsidR="004B4C91">
        <w:rPr>
          <w:rFonts w:ascii="Arial" w:eastAsia="Times New Roman" w:hAnsi="Arial" w:cs="Arial"/>
          <w:sz w:val="20"/>
          <w:szCs w:val="20"/>
          <w:lang w:eastAsia="en-GB"/>
        </w:rPr>
        <w:t>once</w:t>
      </w:r>
      <w:r w:rsidRPr="009F2C12">
        <w:rPr>
          <w:rFonts w:ascii="Arial" w:eastAsia="Times New Roman" w:hAnsi="Arial" w:cs="Arial"/>
          <w:sz w:val="20"/>
          <w:szCs w:val="20"/>
          <w:lang w:eastAsia="en-GB"/>
        </w:rPr>
        <w:t xml:space="preserve"> the relevant authorities have adopted and published the notified macroprudential measure</w:t>
      </w:r>
      <w:r w:rsidRPr="005E022F">
        <w:rPr>
          <w:rStyle w:val="FootnoteReference"/>
          <w:rFonts w:ascii="Arial" w:hAnsi="Arial" w:cs="Arial"/>
          <w:sz w:val="18"/>
          <w:szCs w:val="18"/>
          <w:shd w:val="clear" w:color="auto" w:fill="FFFFFF"/>
        </w:rPr>
        <w:footnoteReference w:id="1"/>
      </w:r>
      <w:r w:rsidRPr="009F2C12">
        <w:rPr>
          <w:rFonts w:ascii="Arial" w:eastAsia="Times New Roman" w:hAnsi="Arial" w:cs="Arial"/>
          <w:sz w:val="20"/>
          <w:szCs w:val="20"/>
          <w:lang w:eastAsia="en-GB"/>
        </w:rPr>
        <w:t>.</w:t>
      </w:r>
      <w:bookmarkEnd w:id="0"/>
    </w:p>
    <w:p w14:paraId="69ABFCE8" w14:textId="7908E5F5" w:rsidR="00C00EF1" w:rsidRDefault="00A55425" w:rsidP="00753A93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A13E87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4B4C91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A13E87">
        <w:rPr>
          <w:rFonts w:ascii="Arial" w:eastAsia="Times New Roman" w:hAnsi="Arial" w:cs="Arial"/>
          <w:sz w:val="20"/>
          <w:szCs w:val="20"/>
          <w:lang w:eastAsia="en-GB"/>
        </w:rPr>
        <w:t>mailing</w:t>
      </w:r>
      <w:r w:rsidR="008A1DF9">
        <w:rPr>
          <w:rFonts w:ascii="Arial" w:eastAsia="Times New Roman" w:hAnsi="Arial" w:cs="Arial"/>
          <w:sz w:val="20"/>
          <w:szCs w:val="20"/>
          <w:lang w:eastAsia="en-GB"/>
        </w:rPr>
        <w:t>/uploading</w:t>
      </w:r>
      <w:r w:rsidRPr="00A13E87">
        <w:rPr>
          <w:rFonts w:ascii="Arial" w:eastAsia="Times New Roman" w:hAnsi="Arial" w:cs="Arial"/>
          <w:sz w:val="20"/>
          <w:szCs w:val="20"/>
          <w:lang w:eastAsia="en-GB"/>
        </w:rPr>
        <w:t xml:space="preserve"> this template to the above addresses constitutes official notification</w:t>
      </w:r>
      <w:r w:rsidR="004B4C91">
        <w:rPr>
          <w:rFonts w:ascii="Arial" w:eastAsia="Times New Roman" w:hAnsi="Arial" w:cs="Arial"/>
          <w:sz w:val="20"/>
          <w:szCs w:val="20"/>
          <w:lang w:eastAsia="en-GB"/>
        </w:rPr>
        <w:t>;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no further </w:t>
      </w:r>
      <w:r w:rsidRPr="00A13E87">
        <w:rPr>
          <w:rFonts w:ascii="Arial" w:eastAsia="Times New Roman" w:hAnsi="Arial" w:cs="Arial"/>
          <w:sz w:val="20"/>
          <w:szCs w:val="20"/>
          <w:lang w:eastAsia="en-GB"/>
        </w:rPr>
        <w:t>official letter is required.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B4C91">
        <w:rPr>
          <w:rFonts w:ascii="Arial" w:eastAsia="Times New Roman" w:hAnsi="Arial" w:cs="Arial"/>
          <w:sz w:val="20"/>
          <w:szCs w:val="20"/>
          <w:lang w:eastAsia="en-GB"/>
        </w:rPr>
        <w:t>T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o facilitate the work of the notified authorities, please send the notification template in a format that allows </w:t>
      </w:r>
      <w:r w:rsidR="004B4C91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53E08480" w14:textId="77777777" w:rsidR="00C00EF1" w:rsidRPr="00D52C89" w:rsidRDefault="00C00EF1" w:rsidP="003575F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897"/>
        <w:gridCol w:w="5312"/>
      </w:tblGrid>
      <w:tr w:rsidR="003B1FDD" w:rsidRPr="003B1FDD" w14:paraId="6D6A839C" w14:textId="77777777" w:rsidTr="00824334">
        <w:trPr>
          <w:trHeight w:val="465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17247A0A" w14:textId="77777777" w:rsidR="003B1FDD" w:rsidRPr="00824334" w:rsidRDefault="00A55425" w:rsidP="00824334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Notifying national authority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 and scope of the notification</w:t>
            </w:r>
          </w:p>
        </w:tc>
      </w:tr>
      <w:tr w:rsidR="003B1FDD" w:rsidRPr="003B1FDD" w14:paraId="79553EF5" w14:textId="77777777" w:rsidTr="00824334">
        <w:trPr>
          <w:trHeight w:val="987"/>
        </w:trPr>
        <w:tc>
          <w:tcPr>
            <w:tcW w:w="606" w:type="dxa"/>
            <w:shd w:val="clear" w:color="auto" w:fill="auto"/>
            <w:hideMark/>
          </w:tcPr>
          <w:p w14:paraId="2A47D76F" w14:textId="77777777" w:rsidR="003B1FDD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860385088" w:edGrp="everyone" w:colFirst="2" w:colLast="2"/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1.1</w:t>
            </w:r>
          </w:p>
        </w:tc>
        <w:tc>
          <w:tcPr>
            <w:tcW w:w="3897" w:type="dxa"/>
            <w:shd w:val="clear" w:color="auto" w:fill="auto"/>
            <w:hideMark/>
          </w:tcPr>
          <w:p w14:paraId="21207632" w14:textId="1A2B7237" w:rsidR="003B1FDD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Name of the notifying authority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756330D5" w14:textId="47CC462C" w:rsidR="003B1FDD" w:rsidRPr="009F64E8" w:rsidRDefault="00BA34A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64E8">
              <w:rPr>
                <w:rFonts w:ascii="Arial" w:hAnsi="Arial" w:cs="Arial"/>
                <w:sz w:val="20"/>
                <w:szCs w:val="20"/>
              </w:rPr>
              <w:t xml:space="preserve">Please provide the name of the </w:t>
            </w:r>
            <w:r w:rsidR="00861E3E" w:rsidRPr="00861E3E">
              <w:rPr>
                <w:rFonts w:ascii="Arial" w:hAnsi="Arial" w:cs="Arial"/>
                <w:sz w:val="20"/>
                <w:szCs w:val="20"/>
              </w:rPr>
              <w:t>notifying</w:t>
            </w:r>
            <w:r w:rsidRPr="009F64E8">
              <w:rPr>
                <w:rFonts w:ascii="Arial" w:hAnsi="Arial" w:cs="Arial"/>
                <w:sz w:val="20"/>
                <w:szCs w:val="20"/>
              </w:rPr>
              <w:t xml:space="preserve"> authority.</w:t>
            </w:r>
          </w:p>
        </w:tc>
      </w:tr>
      <w:tr w:rsidR="00DE5B1E" w:rsidRPr="003B1FDD" w14:paraId="498E617B" w14:textId="77777777" w:rsidTr="00824334">
        <w:trPr>
          <w:trHeight w:val="987"/>
        </w:trPr>
        <w:tc>
          <w:tcPr>
            <w:tcW w:w="606" w:type="dxa"/>
            <w:shd w:val="clear" w:color="auto" w:fill="auto"/>
          </w:tcPr>
          <w:p w14:paraId="565D2647" w14:textId="77777777" w:rsidR="00DE5B1E" w:rsidRPr="003B1FDD" w:rsidRDefault="00DE5B1E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067388546" w:edGrp="everyone" w:colFirst="2" w:colLast="2"/>
            <w:permEnd w:id="860385088"/>
            <w:r>
              <w:rPr>
                <w:rFonts w:ascii="Arial" w:eastAsia="Times New Roman" w:hAnsi="Arial" w:cs="Arial"/>
                <w:sz w:val="20"/>
                <w:lang w:eastAsia="en-GB"/>
              </w:rPr>
              <w:t>1.2</w:t>
            </w:r>
          </w:p>
        </w:tc>
        <w:tc>
          <w:tcPr>
            <w:tcW w:w="3897" w:type="dxa"/>
            <w:shd w:val="clear" w:color="auto" w:fill="auto"/>
          </w:tcPr>
          <w:p w14:paraId="4E925393" w14:textId="3C36B786" w:rsidR="00DE5B1E" w:rsidRPr="003B1FDD" w:rsidRDefault="00DE5B1E" w:rsidP="00EE5F0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Country of the notifying authority</w:t>
            </w:r>
          </w:p>
        </w:tc>
        <w:tc>
          <w:tcPr>
            <w:tcW w:w="5312" w:type="dxa"/>
            <w:shd w:val="clear" w:color="auto" w:fill="auto"/>
            <w:noWrap/>
          </w:tcPr>
          <w:p w14:paraId="5E9D09D0" w14:textId="3DD7B85D" w:rsidR="00DE5B1E" w:rsidRPr="003B1FDD" w:rsidRDefault="00EE5F09" w:rsidP="00D706AF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Please </w:t>
            </w:r>
            <w:r w:rsidR="0018217D">
              <w:rPr>
                <w:rFonts w:ascii="Arial" w:eastAsia="Times New Roman" w:hAnsi="Arial" w:cs="Arial"/>
                <w:sz w:val="20"/>
                <w:lang w:eastAsia="en-GB"/>
              </w:rPr>
              <w:t xml:space="preserve">insert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the</w:t>
            </w:r>
            <w:r w:rsidR="00422375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country of the </w:t>
            </w:r>
            <w:r w:rsidR="00DD3B21" w:rsidRPr="00DD3B21">
              <w:rPr>
                <w:rFonts w:ascii="Arial" w:eastAsia="Times New Roman" w:hAnsi="Arial" w:cs="Arial"/>
                <w:sz w:val="20"/>
                <w:lang w:eastAsia="en-GB"/>
              </w:rPr>
              <w:t>notifying</w:t>
            </w:r>
            <w:r w:rsidR="0018217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authority.</w:t>
            </w:r>
          </w:p>
        </w:tc>
      </w:tr>
      <w:tr w:rsidR="003B1FDD" w:rsidRPr="003B1FDD" w14:paraId="0F547B50" w14:textId="77777777" w:rsidTr="00824334">
        <w:trPr>
          <w:trHeight w:val="986"/>
        </w:trPr>
        <w:tc>
          <w:tcPr>
            <w:tcW w:w="606" w:type="dxa"/>
            <w:shd w:val="clear" w:color="auto" w:fill="auto"/>
            <w:hideMark/>
          </w:tcPr>
          <w:p w14:paraId="763E7B41" w14:textId="77777777" w:rsidR="003B1FDD" w:rsidRPr="003B1FDD" w:rsidRDefault="00DE5B1E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520974243" w:edGrp="everyone" w:colFirst="2" w:colLast="2"/>
            <w:permEnd w:id="1067388546"/>
            <w:r>
              <w:rPr>
                <w:rFonts w:ascii="Arial" w:eastAsia="Times New Roman" w:hAnsi="Arial" w:cs="Arial"/>
                <w:sz w:val="20"/>
                <w:lang w:eastAsia="en-GB"/>
              </w:rPr>
              <w:t>1.3</w:t>
            </w:r>
          </w:p>
        </w:tc>
        <w:tc>
          <w:tcPr>
            <w:tcW w:w="3897" w:type="dxa"/>
            <w:shd w:val="clear" w:color="auto" w:fill="auto"/>
            <w:hideMark/>
          </w:tcPr>
          <w:p w14:paraId="560B6911" w14:textId="597E1466" w:rsidR="003B1FDD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Name of the macroprudential measure that is notified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ECAA624" w14:textId="77777777" w:rsidR="003B1FDD" w:rsidRPr="003B1FDD" w:rsidRDefault="00A55425" w:rsidP="005E1D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Specify the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macroprudential measure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which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is notified.</w:t>
            </w:r>
          </w:p>
        </w:tc>
      </w:tr>
      <w:permEnd w:id="520974243"/>
      <w:tr w:rsidR="003B1FDD" w:rsidRPr="003B1FDD" w14:paraId="4AF27C14" w14:textId="77777777" w:rsidTr="00824334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370B636F" w14:textId="77777777" w:rsidR="003B1FDD" w:rsidRPr="00824334" w:rsidRDefault="00A55425" w:rsidP="00824334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Description of the measure</w:t>
            </w:r>
          </w:p>
        </w:tc>
      </w:tr>
      <w:tr w:rsidR="005E1D32" w:rsidRPr="003B1FDD" w14:paraId="5B9E56E5" w14:textId="77777777" w:rsidTr="00824334">
        <w:trPr>
          <w:trHeight w:val="2100"/>
        </w:trPr>
        <w:tc>
          <w:tcPr>
            <w:tcW w:w="606" w:type="dxa"/>
            <w:shd w:val="clear" w:color="auto" w:fill="auto"/>
            <w:hideMark/>
          </w:tcPr>
          <w:p w14:paraId="538EF48A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2.1</w:t>
            </w:r>
          </w:p>
        </w:tc>
        <w:tc>
          <w:tcPr>
            <w:tcW w:w="3897" w:type="dxa"/>
            <w:shd w:val="clear" w:color="auto" w:fill="auto"/>
            <w:hideMark/>
          </w:tcPr>
          <w:p w14:paraId="2E4833D7" w14:textId="13F5F0A1" w:rsidR="005E1D32" w:rsidRPr="003B1FDD" w:rsidRDefault="00A55425" w:rsidP="005E1D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Description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22F9938D" w14:textId="77777777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400842181" w:edGrp="everyone"/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rovide a detailed description of the measure, including calibration and the main parameters.</w:t>
            </w:r>
            <w:permEnd w:id="400842181"/>
          </w:p>
        </w:tc>
      </w:tr>
      <w:tr w:rsidR="005E1D32" w:rsidRPr="003B1FDD" w14:paraId="147973DC" w14:textId="77777777" w:rsidTr="00824334">
        <w:trPr>
          <w:trHeight w:val="2235"/>
        </w:trPr>
        <w:tc>
          <w:tcPr>
            <w:tcW w:w="606" w:type="dxa"/>
            <w:shd w:val="clear" w:color="auto" w:fill="auto"/>
            <w:hideMark/>
          </w:tcPr>
          <w:p w14:paraId="647884C1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989753242" w:edGrp="everyone" w:colFirst="2" w:colLast="2"/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2.2</w:t>
            </w:r>
          </w:p>
        </w:tc>
        <w:tc>
          <w:tcPr>
            <w:tcW w:w="3897" w:type="dxa"/>
            <w:shd w:val="clear" w:color="auto" w:fill="auto"/>
            <w:hideMark/>
          </w:tcPr>
          <w:p w14:paraId="7E89B9B9" w14:textId="5D1CFD85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L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egal basis and process of implementation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4A6F7B4" w14:textId="77777777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Please specify the legal basis and process of implementation of the measure.</w:t>
            </w:r>
          </w:p>
        </w:tc>
      </w:tr>
      <w:tr w:rsidR="005E1D32" w:rsidRPr="003B1FDD" w14:paraId="0F8307FC" w14:textId="77777777" w:rsidTr="00824334">
        <w:trPr>
          <w:trHeight w:val="2100"/>
        </w:trPr>
        <w:tc>
          <w:tcPr>
            <w:tcW w:w="606" w:type="dxa"/>
            <w:shd w:val="clear" w:color="auto" w:fill="auto"/>
            <w:hideMark/>
          </w:tcPr>
          <w:p w14:paraId="125E6CA2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551425209" w:edGrp="everyone" w:colFirst="2" w:colLast="2"/>
            <w:permEnd w:id="1989753242"/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2.3</w:t>
            </w:r>
          </w:p>
        </w:tc>
        <w:tc>
          <w:tcPr>
            <w:tcW w:w="3897" w:type="dxa"/>
            <w:shd w:val="clear" w:color="auto" w:fill="auto"/>
            <w:hideMark/>
          </w:tcPr>
          <w:p w14:paraId="4B7A2EAF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Coverage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295DD361" w14:textId="77777777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Which institutions/exposures will be covered by the measure?</w:t>
            </w:r>
          </w:p>
        </w:tc>
      </w:tr>
      <w:tr w:rsidR="00C25FB6" w:rsidRPr="003B1FDD" w14:paraId="764606B1" w14:textId="77777777" w:rsidTr="00723EDE">
        <w:trPr>
          <w:trHeight w:val="1605"/>
        </w:trPr>
        <w:tc>
          <w:tcPr>
            <w:tcW w:w="606" w:type="dxa"/>
            <w:shd w:val="clear" w:color="auto" w:fill="auto"/>
          </w:tcPr>
          <w:p w14:paraId="30D5F68F" w14:textId="77777777" w:rsidR="00C25FB6" w:rsidRPr="003B1FDD" w:rsidRDefault="00A55425" w:rsidP="00C25FB6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318661631" w:edGrp="everyone" w:colFirst="2" w:colLast="2"/>
            <w:permEnd w:id="551425209"/>
            <w:r>
              <w:rPr>
                <w:rFonts w:ascii="Arial" w:eastAsia="Times New Roman" w:hAnsi="Arial" w:cs="Arial"/>
                <w:sz w:val="20"/>
                <w:lang w:eastAsia="en-GB"/>
              </w:rPr>
              <w:t>2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1B60A5A4" w14:textId="4A2BF8D5" w:rsidR="00C25FB6" w:rsidRPr="003B1FDD" w:rsidRDefault="00A55425" w:rsidP="00723ED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Any other relevant information</w:t>
            </w:r>
          </w:p>
        </w:tc>
        <w:tc>
          <w:tcPr>
            <w:tcW w:w="5312" w:type="dxa"/>
            <w:shd w:val="clear" w:color="auto" w:fill="auto"/>
            <w:noWrap/>
          </w:tcPr>
          <w:p w14:paraId="65BF4850" w14:textId="77777777" w:rsidR="00C25FB6" w:rsidRPr="003B1FDD" w:rsidRDefault="00A55425" w:rsidP="00723ED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Any other relevant information (e.g. interaction with other measures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addressing the same risk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).</w:t>
            </w:r>
          </w:p>
        </w:tc>
      </w:tr>
      <w:permEnd w:id="1318661631"/>
      <w:tr w:rsidR="005E1D32" w:rsidRPr="003B1FDD" w14:paraId="5DEE4006" w14:textId="77777777" w:rsidTr="00296CAE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777BA823" w14:textId="7BEB0EDE" w:rsidR="005E1D32" w:rsidRPr="00824334" w:rsidRDefault="00A55425" w:rsidP="005E1D32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Timing</w:t>
            </w:r>
            <w:r w:rsidR="0087777B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 </w:t>
            </w:r>
            <w:r w:rsidR="00A4275F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for</w:t>
            </w:r>
            <w:r w:rsidR="0052501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 </w:t>
            </w:r>
            <w:r w:rsidR="0087777B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the measure</w:t>
            </w:r>
          </w:p>
        </w:tc>
      </w:tr>
      <w:tr w:rsidR="005E1D32" w:rsidRPr="003B1FDD" w14:paraId="2FA2FC8A" w14:textId="77777777" w:rsidTr="00296CAE">
        <w:trPr>
          <w:trHeight w:val="1455"/>
        </w:trPr>
        <w:tc>
          <w:tcPr>
            <w:tcW w:w="606" w:type="dxa"/>
            <w:shd w:val="clear" w:color="auto" w:fill="auto"/>
            <w:hideMark/>
          </w:tcPr>
          <w:p w14:paraId="181B0305" w14:textId="77777777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527805601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5F4F8C50" w14:textId="03A6590E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A4275F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the decision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9C6CD6E" w14:textId="1FB3320C" w:rsidR="005E1D32" w:rsidRDefault="00A55425" w:rsidP="00EB6A4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date of the official decision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A4275F">
              <w:rPr>
                <w:rFonts w:ascii="Arial" w:eastAsia="Times New Roman" w:hAnsi="Arial" w:cs="Arial"/>
                <w:sz w:val="20"/>
                <w:lang w:eastAsia="en-GB"/>
              </w:rPr>
              <w:t>on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notified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measure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>?</w:t>
            </w:r>
          </w:p>
          <w:p w14:paraId="2AC3ABCF" w14:textId="77777777" w:rsidR="004B5649" w:rsidRPr="003B1FDD" w:rsidRDefault="00E5079E" w:rsidP="00EB6A4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901769"/>
                <w:placeholder>
                  <w:docPart w:val="4BD4D2D9D0134A199AE056F0C06E6B5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5649" w:rsidRPr="004615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E1D32" w:rsidRPr="003B1FDD" w14:paraId="369F4222" w14:textId="77777777" w:rsidTr="00296CAE">
        <w:trPr>
          <w:trHeight w:val="1455"/>
        </w:trPr>
        <w:tc>
          <w:tcPr>
            <w:tcW w:w="606" w:type="dxa"/>
            <w:shd w:val="clear" w:color="auto" w:fill="auto"/>
          </w:tcPr>
          <w:p w14:paraId="1ABF19E5" w14:textId="77777777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446128808" w:edGrp="everyone" w:colFirst="2" w:colLast="2"/>
            <w:permEnd w:id="1527805601"/>
            <w:r>
              <w:rPr>
                <w:rFonts w:ascii="Arial" w:eastAsia="Times New Roman" w:hAnsi="Arial" w:cs="Arial"/>
                <w:sz w:val="20"/>
                <w:lang w:eastAsia="en-GB"/>
              </w:rPr>
              <w:t>3.2</w:t>
            </w:r>
          </w:p>
        </w:tc>
        <w:tc>
          <w:tcPr>
            <w:tcW w:w="3897" w:type="dxa"/>
            <w:shd w:val="clear" w:color="auto" w:fill="auto"/>
          </w:tcPr>
          <w:p w14:paraId="30511EEA" w14:textId="183436E3" w:rsidR="005E1D32" w:rsidRPr="003B1FDD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A4275F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publication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331BBDBE" w14:textId="262A5006" w:rsidR="004B5649" w:rsidRDefault="00A55425" w:rsidP="00EB6A4B">
            <w:pPr>
              <w:spacing w:before="60" w:after="60" w:line="340" w:lineRule="exact"/>
              <w:rPr>
                <w:rFonts w:ascii="Arial" w:eastAsia="Times New Roman" w:hAnsi="Arial" w:cs="Sendnya"/>
                <w:sz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date of publication </w:t>
            </w:r>
            <w:r w:rsidR="00A4275F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notified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measure</w:t>
            </w:r>
            <w:r>
              <w:rPr>
                <w:rFonts w:ascii="Arial" w:eastAsia="Times New Roman" w:hAnsi="Arial" w:cs="Sendnya"/>
                <w:sz w:val="20"/>
                <w:lang w:eastAsia="en-GB"/>
              </w:rPr>
              <w:t>?</w:t>
            </w:r>
          </w:p>
          <w:p w14:paraId="4A4AE77B" w14:textId="77777777" w:rsidR="005E1D32" w:rsidRPr="003B1FDD" w:rsidRDefault="00E5079E" w:rsidP="00EB6A4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473361"/>
                <w:placeholder>
                  <w:docPart w:val="7B5E5FF6465A4B70B441664F94E9E79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5649" w:rsidRPr="004615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  <w:r w:rsidR="00A55425">
              <w:rPr>
                <w:rFonts w:ascii="Arial" w:eastAsia="Times New Roman" w:hAnsi="Arial" w:cs="Sendnya"/>
                <w:sz w:val="20"/>
                <w:lang w:eastAsia="en-GB"/>
              </w:rPr>
              <w:t xml:space="preserve"> </w:t>
            </w:r>
          </w:p>
        </w:tc>
      </w:tr>
      <w:tr w:rsidR="00267B75" w:rsidRPr="003B1FDD" w14:paraId="098E06D2" w14:textId="77777777" w:rsidTr="00296CAE">
        <w:trPr>
          <w:trHeight w:val="1455"/>
        </w:trPr>
        <w:tc>
          <w:tcPr>
            <w:tcW w:w="606" w:type="dxa"/>
            <w:shd w:val="clear" w:color="auto" w:fill="auto"/>
          </w:tcPr>
          <w:p w14:paraId="16B8F423" w14:textId="77777777" w:rsidR="00267B75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28293900" w:edGrp="everyone" w:colFirst="2" w:colLast="2"/>
            <w:permEnd w:id="1446128808"/>
            <w:r>
              <w:rPr>
                <w:rFonts w:ascii="Arial" w:eastAsia="Times New Roman" w:hAnsi="Arial" w:cs="Arial"/>
                <w:sz w:val="20"/>
                <w:lang w:eastAsia="en-GB"/>
              </w:rPr>
              <w:t>3.3</w:t>
            </w:r>
          </w:p>
        </w:tc>
        <w:tc>
          <w:tcPr>
            <w:tcW w:w="3897" w:type="dxa"/>
            <w:shd w:val="clear" w:color="auto" w:fill="auto"/>
          </w:tcPr>
          <w:p w14:paraId="507A97C3" w14:textId="77777777" w:rsidR="00267B75" w:rsidRDefault="00A55425" w:rsidP="00296CA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Disclosure</w:t>
            </w:r>
          </w:p>
        </w:tc>
        <w:tc>
          <w:tcPr>
            <w:tcW w:w="5312" w:type="dxa"/>
            <w:shd w:val="clear" w:color="auto" w:fill="auto"/>
            <w:noWrap/>
          </w:tcPr>
          <w:p w14:paraId="0A1D04C3" w14:textId="11ABC9FF" w:rsidR="00267B75" w:rsidRDefault="00A55425" w:rsidP="00267B75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Sendnya"/>
                <w:sz w:val="20"/>
                <w:lang w:eastAsia="en-GB"/>
              </w:rPr>
              <w:t xml:space="preserve">Provide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information about the strategy </w:t>
            </w:r>
            <w:r w:rsidR="00A4275F">
              <w:rPr>
                <w:rFonts w:ascii="Arial" w:eastAsia="Times New Roman" w:hAnsi="Arial" w:cs="Arial"/>
                <w:sz w:val="20"/>
                <w:lang w:eastAsia="en-GB"/>
              </w:rPr>
              <w:t>for comm</w:t>
            </w:r>
            <w:r w:rsidR="00F91DF4">
              <w:rPr>
                <w:rFonts w:ascii="Arial" w:eastAsia="Times New Roman" w:hAnsi="Arial" w:cs="Arial"/>
                <w:sz w:val="20"/>
                <w:lang w:eastAsia="en-GB"/>
              </w:rPr>
              <w:t>unicating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the notified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measure to the market.</w:t>
            </w:r>
          </w:p>
          <w:p w14:paraId="164C560E" w14:textId="5A9946BC" w:rsidR="004B5649" w:rsidRPr="00267B75" w:rsidRDefault="00A4275F" w:rsidP="00267B75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="00CE060B">
              <w:rPr>
                <w:rFonts w:ascii="Arial" w:eastAsia="Times New Roman" w:hAnsi="Arial" w:cs="Arial"/>
                <w:sz w:val="20"/>
                <w:lang w:eastAsia="en-GB"/>
              </w:rPr>
              <w:t>lease provide a link to the public announcement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, if </w:t>
            </w:r>
            <w:r w:rsidR="00EE6229">
              <w:rPr>
                <w:rFonts w:ascii="Arial" w:eastAsia="Times New Roman" w:hAnsi="Arial" w:cs="Arial"/>
                <w:sz w:val="20"/>
                <w:lang w:eastAsia="en-GB"/>
              </w:rPr>
              <w:t>any</w:t>
            </w:r>
            <w:r w:rsidR="00CE060B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</w:tc>
      </w:tr>
      <w:tr w:rsidR="005E1D32" w:rsidRPr="003B1FDD" w14:paraId="1F846AFF" w14:textId="77777777" w:rsidTr="00296CAE">
        <w:trPr>
          <w:trHeight w:val="613"/>
        </w:trPr>
        <w:tc>
          <w:tcPr>
            <w:tcW w:w="606" w:type="dxa"/>
            <w:shd w:val="clear" w:color="auto" w:fill="auto"/>
            <w:hideMark/>
          </w:tcPr>
          <w:p w14:paraId="28A84E74" w14:textId="77777777" w:rsidR="005E1D32" w:rsidRPr="003B1FDD" w:rsidRDefault="00A55425" w:rsidP="00267B75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830956741" w:edGrp="everyone" w:colFirst="2" w:colLast="2"/>
            <w:permEnd w:id="228293900"/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5BD67967" w14:textId="7A848FD2" w:rsidR="005E1D32" w:rsidRPr="003B1FDD" w:rsidRDefault="00A55425" w:rsidP="00267B75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7778EC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application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4DFC4646" w14:textId="4A8E64E6" w:rsidR="005E1D32" w:rsidRDefault="00A55425" w:rsidP="007A6936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is the intended date of </w:t>
            </w:r>
            <w:r w:rsidR="000476AD">
              <w:rPr>
                <w:rFonts w:ascii="Arial" w:eastAsia="Times New Roman" w:hAnsi="Arial" w:cs="Arial"/>
                <w:sz w:val="20"/>
                <w:lang w:eastAsia="en-GB"/>
              </w:rPr>
              <w:t xml:space="preserve">application of the measure? 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>What is the intended timeline for phase-in of the measure</w:t>
            </w:r>
            <w:r w:rsidR="007A6936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7A6936" w:rsidRPr="007A6936">
              <w:rPr>
                <w:rFonts w:ascii="Arial" w:eastAsia="Times New Roman" w:hAnsi="Arial" w:cs="Arial"/>
                <w:sz w:val="20"/>
                <w:lang w:eastAsia="en-GB"/>
              </w:rPr>
              <w:t>(if</w:t>
            </w:r>
            <w:r w:rsidR="000476A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7A6936" w:rsidRPr="007A6936">
              <w:rPr>
                <w:rFonts w:ascii="Arial" w:eastAsia="Times New Roman" w:hAnsi="Arial" w:cs="Arial"/>
                <w:sz w:val="20"/>
                <w:lang w:eastAsia="en-GB"/>
              </w:rPr>
              <w:t>applicable)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>?</w:t>
            </w:r>
          </w:p>
          <w:p w14:paraId="6220CDCF" w14:textId="77777777" w:rsidR="004B5649" w:rsidRPr="003B1FDD" w:rsidRDefault="00E5079E" w:rsidP="005E1D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9223225"/>
                <w:placeholder>
                  <w:docPart w:val="68E4EEE512454AC0AA3F4097EAD0A5D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5649" w:rsidRPr="004615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E1D32" w:rsidRPr="003B1FDD" w14:paraId="2964ED98" w14:textId="77777777" w:rsidTr="005E1D32">
        <w:trPr>
          <w:trHeight w:val="993"/>
        </w:trPr>
        <w:tc>
          <w:tcPr>
            <w:tcW w:w="606" w:type="dxa"/>
            <w:shd w:val="clear" w:color="auto" w:fill="auto"/>
            <w:hideMark/>
          </w:tcPr>
          <w:p w14:paraId="36098896" w14:textId="77777777" w:rsidR="005E1D32" w:rsidRPr="003B1FDD" w:rsidRDefault="00A55425" w:rsidP="00267B75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267823461" w:edGrp="everyone" w:colFirst="2" w:colLast="2"/>
            <w:permEnd w:id="1830956741"/>
            <w:r>
              <w:rPr>
                <w:rFonts w:ascii="Arial" w:eastAsia="Times New Roman" w:hAnsi="Arial" w:cs="Arial"/>
                <w:sz w:val="20"/>
                <w:lang w:eastAsia="en-GB"/>
              </w:rPr>
              <w:t>3.5</w:t>
            </w:r>
          </w:p>
        </w:tc>
        <w:tc>
          <w:tcPr>
            <w:tcW w:w="3897" w:type="dxa"/>
            <w:shd w:val="clear" w:color="auto" w:fill="auto"/>
          </w:tcPr>
          <w:p w14:paraId="26C9B511" w14:textId="77777777" w:rsidR="005E1D32" w:rsidRPr="003B1FDD" w:rsidRDefault="00A55425" w:rsidP="0043625F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End date (if applicable)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3472655B" w14:textId="53C19DE6" w:rsidR="00124529" w:rsidRDefault="00124529" w:rsidP="00F85D5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24529">
              <w:rPr>
                <w:rFonts w:ascii="Arial" w:eastAsia="Times New Roman" w:hAnsi="Arial" w:cs="Arial"/>
                <w:sz w:val="20"/>
                <w:lang w:eastAsia="en-GB"/>
              </w:rPr>
              <w:t xml:space="preserve">Until when </w:t>
            </w:r>
            <w:r w:rsidR="007D330F">
              <w:rPr>
                <w:rFonts w:ascii="Arial" w:eastAsia="Times New Roman" w:hAnsi="Arial" w:cs="Arial"/>
                <w:sz w:val="20"/>
                <w:lang w:eastAsia="en-GB"/>
              </w:rPr>
              <w:t xml:space="preserve">is it presumed that </w:t>
            </w:r>
            <w:r w:rsidRPr="00124529">
              <w:rPr>
                <w:rFonts w:ascii="Arial" w:eastAsia="Times New Roman" w:hAnsi="Arial" w:cs="Arial"/>
                <w:sz w:val="20"/>
                <w:lang w:eastAsia="en-GB"/>
              </w:rPr>
              <w:t xml:space="preserve">the measure </w:t>
            </w:r>
            <w:r w:rsidR="007D330F">
              <w:rPr>
                <w:rFonts w:ascii="Arial" w:eastAsia="Times New Roman" w:hAnsi="Arial" w:cs="Arial"/>
                <w:sz w:val="20"/>
                <w:lang w:eastAsia="en-GB"/>
              </w:rPr>
              <w:t xml:space="preserve">will </w:t>
            </w:r>
            <w:r w:rsidRPr="00124529">
              <w:rPr>
                <w:rFonts w:ascii="Arial" w:eastAsia="Times New Roman" w:hAnsi="Arial" w:cs="Arial"/>
                <w:sz w:val="20"/>
                <w:lang w:eastAsia="en-GB"/>
              </w:rPr>
              <w:t>be in place? If applicable, please select an end date.</w:t>
            </w:r>
          </w:p>
          <w:p w14:paraId="1E010D38" w14:textId="5B7F0F14" w:rsidR="004B5649" w:rsidRPr="003B1FDD" w:rsidRDefault="00E5079E" w:rsidP="00F85D5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9489330"/>
                <w:placeholder>
                  <w:docPart w:val="474BE3C4C01D4BBDA6A7FD59FC635A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5649" w:rsidRPr="004615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permEnd w:id="1267823461"/>
      <w:tr w:rsidR="005E1D32" w:rsidRPr="003B1FDD" w14:paraId="147461C6" w14:textId="77777777" w:rsidTr="00824334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</w:tcPr>
          <w:p w14:paraId="1FFBA84D" w14:textId="77777777" w:rsidR="005E1D32" w:rsidRPr="00824334" w:rsidRDefault="00A55425" w:rsidP="005E1D32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lastRenderedPageBreak/>
              <w:t>Reason for the activation of the measure</w:t>
            </w:r>
          </w:p>
        </w:tc>
      </w:tr>
      <w:tr w:rsidR="005E1D32" w:rsidRPr="003B1FDD" w14:paraId="14904811" w14:textId="77777777" w:rsidTr="00824334">
        <w:trPr>
          <w:trHeight w:val="2790"/>
        </w:trPr>
        <w:tc>
          <w:tcPr>
            <w:tcW w:w="606" w:type="dxa"/>
            <w:shd w:val="clear" w:color="auto" w:fill="auto"/>
          </w:tcPr>
          <w:p w14:paraId="4FD7AD90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720062019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.1</w:t>
            </w:r>
          </w:p>
        </w:tc>
        <w:tc>
          <w:tcPr>
            <w:tcW w:w="3897" w:type="dxa"/>
            <w:shd w:val="clear" w:color="auto" w:fill="auto"/>
          </w:tcPr>
          <w:p w14:paraId="202A55D7" w14:textId="1A12469F" w:rsidR="005E1D32" w:rsidRPr="003B1FDD" w:rsidRDefault="00A55425" w:rsidP="005E1D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escription of the macroprudential risk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to be addressed</w:t>
            </w:r>
          </w:p>
        </w:tc>
        <w:tc>
          <w:tcPr>
            <w:tcW w:w="5312" w:type="dxa"/>
            <w:shd w:val="clear" w:color="auto" w:fill="auto"/>
            <w:noWrap/>
          </w:tcPr>
          <w:p w14:paraId="132BDB7F" w14:textId="77777777" w:rsidR="005E1D32" w:rsidRPr="003B1FDD" w:rsidRDefault="00A55425" w:rsidP="005E1D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Describe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the macroprudential risk in the financial system to be addressed by the pr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oposed macroprudential measure.</w:t>
            </w:r>
          </w:p>
        </w:tc>
      </w:tr>
      <w:tr w:rsidR="005E1D32" w:rsidRPr="003B1FDD" w14:paraId="70ECA932" w14:textId="77777777" w:rsidTr="00824334">
        <w:trPr>
          <w:trHeight w:val="2330"/>
        </w:trPr>
        <w:tc>
          <w:tcPr>
            <w:tcW w:w="606" w:type="dxa"/>
            <w:shd w:val="clear" w:color="auto" w:fill="auto"/>
          </w:tcPr>
          <w:p w14:paraId="7E297F1A" w14:textId="77777777" w:rsidR="005E1D32" w:rsidRPr="003B1FDD" w:rsidRDefault="00A55425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746483496" w:edGrp="everyone" w:colFirst="2" w:colLast="2"/>
            <w:permEnd w:id="720062019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.2</w:t>
            </w:r>
          </w:p>
        </w:tc>
        <w:tc>
          <w:tcPr>
            <w:tcW w:w="3897" w:type="dxa"/>
            <w:shd w:val="clear" w:color="auto" w:fill="auto"/>
          </w:tcPr>
          <w:p w14:paraId="18FDFADD" w14:textId="35343D29" w:rsidR="005E1D32" w:rsidRPr="003B1FDD" w:rsidRDefault="005847B3" w:rsidP="00D559D4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I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ndicators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used for activation of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>the measure</w:t>
            </w:r>
          </w:p>
        </w:tc>
        <w:tc>
          <w:tcPr>
            <w:tcW w:w="5312" w:type="dxa"/>
            <w:shd w:val="clear" w:color="auto" w:fill="auto"/>
            <w:noWrap/>
          </w:tcPr>
          <w:p w14:paraId="628DB1D8" w14:textId="68C7F996" w:rsidR="005E1D32" w:rsidRPr="003B1FDD" w:rsidRDefault="005847B3" w:rsidP="00D559D4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Provide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the indicators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triggering activation of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>the measure.</w:t>
            </w:r>
            <w:r w:rsidR="00A55425" w:rsidRPr="003B1FDD">
              <w:rPr>
                <w:rFonts w:ascii="Arial" w:eastAsia="Times New Roman" w:hAnsi="Arial" w:cs="Sendnya"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rovide the data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on which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the decision is based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if possible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(preferably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in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>an Excel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A55425" w:rsidRPr="003B1FDD">
              <w:rPr>
                <w:rFonts w:ascii="Arial" w:eastAsia="Times New Roman" w:hAnsi="Arial" w:cs="Arial"/>
                <w:sz w:val="20"/>
                <w:lang w:eastAsia="en-GB"/>
              </w:rPr>
              <w:t>file).</w:t>
            </w:r>
          </w:p>
        </w:tc>
      </w:tr>
      <w:tr w:rsidR="00C25FB6" w:rsidRPr="003B1FDD" w14:paraId="09A950D6" w14:textId="77777777" w:rsidTr="00AB1FD4">
        <w:trPr>
          <w:trHeight w:val="2100"/>
        </w:trPr>
        <w:tc>
          <w:tcPr>
            <w:tcW w:w="606" w:type="dxa"/>
            <w:shd w:val="clear" w:color="auto" w:fill="auto"/>
            <w:hideMark/>
          </w:tcPr>
          <w:p w14:paraId="4223DB6D" w14:textId="77777777" w:rsidR="00C25FB6" w:rsidRPr="003B1FDD" w:rsidRDefault="00A55425" w:rsidP="00C25FB6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75846534" w:edGrp="everyone" w:colFirst="2" w:colLast="2"/>
            <w:permEnd w:id="1746483496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</w:p>
        </w:tc>
        <w:tc>
          <w:tcPr>
            <w:tcW w:w="3897" w:type="dxa"/>
            <w:shd w:val="clear" w:color="auto" w:fill="auto"/>
            <w:hideMark/>
          </w:tcPr>
          <w:p w14:paraId="74A5AC9A" w14:textId="6B3941FB" w:rsidR="00C25FB6" w:rsidRPr="003B1FDD" w:rsidRDefault="00A55425" w:rsidP="00AB1FD4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E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ffects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12DB7F24" w14:textId="5ABEE6C7" w:rsidR="00C25FB6" w:rsidRPr="003B1FDD" w:rsidRDefault="00A55425" w:rsidP="00AB1FD4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rovide your assessment of the effects of the measure on </w:t>
            </w:r>
            <w:r w:rsidR="008851B6">
              <w:rPr>
                <w:rFonts w:ascii="Arial" w:eastAsia="Times New Roman" w:hAnsi="Arial" w:cs="Arial"/>
                <w:sz w:val="20"/>
                <w:lang w:eastAsia="en-GB"/>
              </w:rPr>
              <w:t>your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domestic banking system,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other parts of the financial system,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the real economy and financial stability in your country.</w:t>
            </w:r>
          </w:p>
        </w:tc>
      </w:tr>
      <w:permEnd w:id="1675846534"/>
      <w:tr w:rsidR="00CB1D9F" w:rsidRPr="0024029B" w14:paraId="67BB9E50" w14:textId="77777777" w:rsidTr="000F27F5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</w:tcPr>
          <w:p w14:paraId="3F8EE388" w14:textId="13D05D1B" w:rsidR="00CB1D9F" w:rsidRPr="0024029B" w:rsidRDefault="009B5A9D" w:rsidP="000F27F5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Sufficiency, consistency and non-overlap of the policy response</w:t>
            </w:r>
          </w:p>
        </w:tc>
      </w:tr>
      <w:tr w:rsidR="00DE5041" w14:paraId="289C7809" w14:textId="77777777" w:rsidTr="000F27F5">
        <w:trPr>
          <w:trHeight w:val="2100"/>
        </w:trPr>
        <w:tc>
          <w:tcPr>
            <w:tcW w:w="606" w:type="dxa"/>
            <w:shd w:val="clear" w:color="auto" w:fill="auto"/>
          </w:tcPr>
          <w:p w14:paraId="23B54EF6" w14:textId="77777777" w:rsidR="00DE5041" w:rsidRDefault="00DE5041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76438002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5.1</w:t>
            </w:r>
          </w:p>
        </w:tc>
        <w:tc>
          <w:tcPr>
            <w:tcW w:w="3897" w:type="dxa"/>
            <w:shd w:val="clear" w:color="auto" w:fill="auto"/>
          </w:tcPr>
          <w:p w14:paraId="7DA2FC6B" w14:textId="0C2D3207" w:rsidR="00DE5041" w:rsidRDefault="006C50F3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>Sufficiency of the policy response</w:t>
            </w:r>
          </w:p>
        </w:tc>
        <w:tc>
          <w:tcPr>
            <w:tcW w:w="5312" w:type="dxa"/>
            <w:shd w:val="clear" w:color="auto" w:fill="auto"/>
            <w:noWrap/>
          </w:tcPr>
          <w:p w14:paraId="55D24B46" w14:textId="21099970" w:rsidR="00DE5041" w:rsidRPr="00DE5041" w:rsidRDefault="008851B6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F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a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macroprudential policy to be </w:t>
            </w:r>
            <w:r w:rsidR="00370EEB">
              <w:rPr>
                <w:rFonts w:ascii="Arial" w:eastAsia="Times New Roman" w:hAnsi="Arial" w:cs="Arial"/>
                <w:sz w:val="20"/>
                <w:lang w:eastAsia="en-GB"/>
              </w:rPr>
              <w:t>‘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>sufficient</w:t>
            </w:r>
            <w:r w:rsidR="00370EEB">
              <w:rPr>
                <w:rFonts w:ascii="Arial" w:eastAsia="Times New Roman" w:hAnsi="Arial" w:cs="Arial"/>
                <w:sz w:val="20"/>
                <w:lang w:eastAsia="en-GB"/>
              </w:rPr>
              <w:t>’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, the policy responses </w:t>
            </w:r>
            <w:r w:rsidRPr="0006532D">
              <w:rPr>
                <w:rFonts w:ascii="Arial" w:hAnsi="Arial" w:cs="Arial"/>
                <w:sz w:val="20"/>
                <w:szCs w:val="20"/>
              </w:rPr>
              <w:t>must be deemed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>to significantly mitigate, or reduce the build-up of, risks over an appropriate time horizon with a limited unintended impact on the general economy.</w:t>
            </w:r>
          </w:p>
          <w:p w14:paraId="48AA5EC4" w14:textId="7362388C" w:rsidR="008851B6" w:rsidRDefault="00DE5041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>Note that the ESRB will use th</w:t>
            </w:r>
            <w:r w:rsidR="008851B6"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assessment of the macroprudential stance as relevant input </w:t>
            </w:r>
            <w:r w:rsidR="008851B6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assessing the sufficiency of the macroprudential policy in the Member State. </w:t>
            </w:r>
          </w:p>
          <w:p w14:paraId="41886521" w14:textId="30BB5167" w:rsidR="00DE5041" w:rsidRPr="00DE5041" w:rsidRDefault="00DE5041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any additional information that the ESRB should consider </w:t>
            </w:r>
            <w:r w:rsidR="008851B6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</w:t>
            </w:r>
            <w:r w:rsidR="008851B6">
              <w:rPr>
                <w:rFonts w:ascii="Arial" w:eastAsia="Times New Roman" w:hAnsi="Arial" w:cs="Arial"/>
                <w:sz w:val="20"/>
                <w:lang w:eastAsia="en-GB"/>
              </w:rPr>
              <w:t>ing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sufficiency of the policy response.</w:t>
            </w:r>
          </w:p>
        </w:tc>
      </w:tr>
      <w:tr w:rsidR="00DE5041" w:rsidRPr="006D76CE" w14:paraId="13665B8A" w14:textId="77777777" w:rsidTr="000F27F5">
        <w:trPr>
          <w:trHeight w:val="2100"/>
        </w:trPr>
        <w:tc>
          <w:tcPr>
            <w:tcW w:w="606" w:type="dxa"/>
            <w:shd w:val="clear" w:color="auto" w:fill="auto"/>
          </w:tcPr>
          <w:p w14:paraId="15B5AAF8" w14:textId="77777777" w:rsidR="00DE5041" w:rsidRDefault="00DE5041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768498400" w:edGrp="everyone" w:colFirst="2" w:colLast="2"/>
            <w:permEnd w:id="176438002"/>
            <w:r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5.2</w:t>
            </w:r>
          </w:p>
        </w:tc>
        <w:tc>
          <w:tcPr>
            <w:tcW w:w="3897" w:type="dxa"/>
            <w:shd w:val="clear" w:color="auto" w:fill="auto"/>
          </w:tcPr>
          <w:p w14:paraId="60D81999" w14:textId="434FDEBF" w:rsidR="006C50F3" w:rsidRPr="004A3BD8" w:rsidRDefault="006C50F3" w:rsidP="006C50F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 xml:space="preserve">Consistency of application of the policy response </w:t>
            </w:r>
          </w:p>
          <w:p w14:paraId="756C9A52" w14:textId="33DDD8EF" w:rsidR="00DE5041" w:rsidRDefault="00DE5041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5312" w:type="dxa"/>
            <w:shd w:val="clear" w:color="auto" w:fill="auto"/>
            <w:noWrap/>
          </w:tcPr>
          <w:p w14:paraId="3DB27E7F" w14:textId="6AE76D81" w:rsidR="00DE5041" w:rsidRPr="00DE5041" w:rsidRDefault="008851B6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F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a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macroprudential policy to be ‘consistent’, the policy instruments </w:t>
            </w:r>
            <w:r w:rsidRPr="00D716F4">
              <w:rPr>
                <w:rFonts w:ascii="Arial" w:hAnsi="Arial" w:cs="Arial"/>
                <w:sz w:val="20"/>
                <w:szCs w:val="20"/>
              </w:rPr>
              <w:t>must be deemed to meet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their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respective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>objective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CE6922">
              <w:rPr>
                <w:rFonts w:ascii="Arial" w:eastAsia="Times New Roman" w:hAnsi="Arial" w:cs="Arial"/>
                <w:sz w:val="20"/>
                <w:lang w:eastAsia="en-GB"/>
              </w:rPr>
              <w:t xml:space="preserve">, 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>as outlined in ESRB/2013/1</w:t>
            </w:r>
            <w:r>
              <w:rPr>
                <w:rStyle w:val="FootnoteReference"/>
                <w:rFonts w:ascii="Arial" w:hAnsi="Arial"/>
                <w:sz w:val="18"/>
                <w:szCs w:val="18"/>
              </w:rPr>
              <w:footnoteReference w:id="2"/>
            </w:r>
            <w:r w:rsidR="00CE6922">
              <w:rPr>
                <w:rFonts w:ascii="Arial" w:eastAsia="Times New Roman" w:hAnsi="Arial" w:cs="Arial"/>
                <w:sz w:val="20"/>
                <w:lang w:eastAsia="en-GB"/>
              </w:rPr>
              <w:t>,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and </w:t>
            </w:r>
            <w:r w:rsidR="00CE6922">
              <w:rPr>
                <w:rFonts w:ascii="Arial" w:eastAsia="Times New Roman" w:hAnsi="Arial" w:cs="Arial"/>
                <w:sz w:val="20"/>
                <w:lang w:eastAsia="en-GB"/>
              </w:rPr>
              <w:t xml:space="preserve">they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must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be implemented in accordance with the common principles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set out in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relevant legal text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  <w:p w14:paraId="56930764" w14:textId="63C55104" w:rsidR="0001093A" w:rsidRDefault="00DE5041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Note that the ESRB assessment of consistency will </w:t>
            </w:r>
            <w:r w:rsidR="0001093A">
              <w:rPr>
                <w:rFonts w:ascii="Arial" w:eastAsia="Times New Roman" w:hAnsi="Arial" w:cs="Arial"/>
                <w:sz w:val="20"/>
                <w:lang w:eastAsia="en-GB"/>
              </w:rPr>
              <w:t>consider</w:t>
            </w:r>
            <w:r w:rsidR="0001093A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whether the same systemic risks are addressed in a similar way across and within the Member States over time. </w:t>
            </w:r>
          </w:p>
          <w:p w14:paraId="4D7B6F36" w14:textId="4C8F1BAC" w:rsidR="00DE5041" w:rsidRPr="00DE5041" w:rsidRDefault="00DE5041" w:rsidP="00A631AA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any additional information that the ESRB should consider </w:t>
            </w:r>
            <w:r w:rsidR="0001093A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</w:t>
            </w:r>
            <w:r w:rsidR="0001093A">
              <w:rPr>
                <w:rFonts w:ascii="Arial" w:eastAsia="Times New Roman" w:hAnsi="Arial" w:cs="Arial"/>
                <w:sz w:val="20"/>
                <w:lang w:eastAsia="en-GB"/>
              </w:rPr>
              <w:t>ing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consistency of the policy response.</w:t>
            </w:r>
          </w:p>
        </w:tc>
      </w:tr>
      <w:tr w:rsidR="00DE5041" w:rsidRPr="006D76CE" w14:paraId="0A31D71E" w14:textId="77777777" w:rsidTr="000F27F5">
        <w:trPr>
          <w:trHeight w:val="2100"/>
        </w:trPr>
        <w:tc>
          <w:tcPr>
            <w:tcW w:w="606" w:type="dxa"/>
            <w:shd w:val="clear" w:color="auto" w:fill="auto"/>
          </w:tcPr>
          <w:p w14:paraId="58D26658" w14:textId="77777777" w:rsidR="00DE5041" w:rsidRDefault="00DE5041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941118566" w:edGrp="everyone" w:colFirst="2" w:colLast="2"/>
            <w:permEnd w:id="1768498400"/>
            <w:r>
              <w:rPr>
                <w:rFonts w:ascii="Arial" w:eastAsia="Times New Roman" w:hAnsi="Arial" w:cs="Arial"/>
                <w:sz w:val="20"/>
                <w:lang w:eastAsia="en-GB"/>
              </w:rPr>
              <w:t>5.3</w:t>
            </w:r>
          </w:p>
        </w:tc>
        <w:tc>
          <w:tcPr>
            <w:tcW w:w="3897" w:type="dxa"/>
            <w:shd w:val="clear" w:color="auto" w:fill="auto"/>
          </w:tcPr>
          <w:p w14:paraId="1AAD1410" w14:textId="0030B19F" w:rsidR="00DE5041" w:rsidRDefault="00545119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>Non-overlap of the policy response</w:t>
            </w:r>
          </w:p>
        </w:tc>
        <w:tc>
          <w:tcPr>
            <w:tcW w:w="5312" w:type="dxa"/>
            <w:shd w:val="clear" w:color="auto" w:fill="auto"/>
            <w:noWrap/>
          </w:tcPr>
          <w:p w14:paraId="01E4E08A" w14:textId="2065CC63" w:rsidR="00DE5041" w:rsidRPr="00DE5041" w:rsidRDefault="00BD3B3C" w:rsidP="00DE5041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F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or a policy instrument to be ‘non-overlapping’, it should aim to address a systemic risk that either differs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from</w:t>
            </w:r>
            <w:r w:rsidR="00DE5041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risk addressed by other active tools in the same Member State, or to be complementary to another tool in that Member State which addresses the same systemic risk. </w:t>
            </w:r>
          </w:p>
          <w:p w14:paraId="4486BF49" w14:textId="77777777" w:rsidR="00DE5041" w:rsidRPr="00DE5041" w:rsidRDefault="00DE5041" w:rsidP="00DE5041">
            <w:pPr>
              <w:pStyle w:val="ListParagraph"/>
              <w:numPr>
                <w:ilvl w:val="0"/>
                <w:numId w:val="14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Are other policy instruments used to address the </w:t>
            </w:r>
            <w:r w:rsidRPr="00DE5041">
              <w:rPr>
                <w:rFonts w:ascii="Arial" w:eastAsia="Times New Roman" w:hAnsi="Arial" w:cs="Arial"/>
                <w:sz w:val="20"/>
                <w:u w:val="single"/>
                <w:lang w:eastAsia="en-GB"/>
              </w:rPr>
              <w:t>same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systemic risk?</w:t>
            </w:r>
          </w:p>
          <w:p w14:paraId="44DDC094" w14:textId="7644F985" w:rsidR="00DE5041" w:rsidRPr="00DE5041" w:rsidRDefault="00DE5041" w:rsidP="00DE5041">
            <w:pPr>
              <w:pStyle w:val="ListParagraph"/>
              <w:numPr>
                <w:ilvl w:val="0"/>
                <w:numId w:val="14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If yes, please explain the </w:t>
            </w:r>
            <w:r w:rsidR="00BD3B3C">
              <w:rPr>
                <w:rFonts w:ascii="Arial" w:eastAsia="Times New Roman" w:hAnsi="Arial" w:cs="Arial"/>
                <w:sz w:val="20"/>
                <w:lang w:eastAsia="en-GB"/>
              </w:rPr>
              <w:t>need for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more than one instrument to address the same systemic risk and how the different instruments interact with each other.</w:t>
            </w:r>
          </w:p>
        </w:tc>
      </w:tr>
      <w:permEnd w:id="1941118566"/>
      <w:tr w:rsidR="005E1D32" w:rsidRPr="003B1FDD" w14:paraId="35DC53F1" w14:textId="77777777" w:rsidTr="00824334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35165C36" w14:textId="77777777" w:rsidR="005E1D32" w:rsidRPr="00C25FB6" w:rsidRDefault="00A55425" w:rsidP="005E1D32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5FB6">
              <w:rPr>
                <w:rFonts w:ascii="Arial" w:hAnsi="Arial" w:cs="Arial"/>
                <w:b/>
                <w:sz w:val="20"/>
                <w:szCs w:val="20"/>
              </w:rPr>
              <w:t>Cross-border and cross-sector impact of the measure</w:t>
            </w:r>
          </w:p>
        </w:tc>
      </w:tr>
      <w:tr w:rsidR="00231C0C" w:rsidRPr="00675F5A" w14:paraId="6693692E" w14:textId="77777777" w:rsidTr="0080043B">
        <w:trPr>
          <w:trHeight w:val="2542"/>
        </w:trPr>
        <w:tc>
          <w:tcPr>
            <w:tcW w:w="606" w:type="dxa"/>
            <w:shd w:val="clear" w:color="auto" w:fill="auto"/>
            <w:hideMark/>
          </w:tcPr>
          <w:p w14:paraId="608D1399" w14:textId="77777777" w:rsidR="00231C0C" w:rsidRPr="00D559D4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521893789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1F35C6A0" w14:textId="0ED4D46B" w:rsidR="00231C0C" w:rsidRPr="00C25FB6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Assessment of cross-border effects and the likely impact on the </w:t>
            </w:r>
            <w:r w:rsidR="00B73006">
              <w:rPr>
                <w:rFonts w:ascii="Arial" w:eastAsia="Times New Roman" w:hAnsi="Arial" w:cs="Arial"/>
                <w:sz w:val="20"/>
                <w:lang w:eastAsia="en-GB"/>
              </w:rPr>
              <w:t>I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nternal </w:t>
            </w:r>
            <w:r w:rsidR="00B73006">
              <w:rPr>
                <w:rFonts w:ascii="Arial" w:eastAsia="Times New Roman" w:hAnsi="Arial" w:cs="Arial"/>
                <w:sz w:val="20"/>
                <w:lang w:eastAsia="en-GB"/>
              </w:rPr>
              <w:t>M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arket</w:t>
            </w:r>
          </w:p>
          <w:p w14:paraId="6D11AD22" w14:textId="2816FEC4" w:rsidR="00231C0C" w:rsidRPr="00C25FB6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Article 133(11)(d) CRD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 and Recommendation </w:t>
            </w:r>
            <w:r w:rsidRPr="00DA502F">
              <w:rPr>
                <w:rFonts w:ascii="Arial" w:eastAsia="Times New Roman" w:hAnsi="Arial" w:cs="Arial"/>
                <w:sz w:val="20"/>
                <w:lang w:eastAsia="en-GB"/>
              </w:rPr>
              <w:t>ESRB/2015/</w:t>
            </w:r>
            <w:r w:rsidRPr="00846F41">
              <w:rPr>
                <w:rFonts w:ascii="Arial" w:eastAsia="Times New Roman" w:hAnsi="Arial" w:cs="Arial"/>
                <w:sz w:val="20"/>
                <w:lang w:eastAsia="en-GB"/>
              </w:rPr>
              <w:t>2</w:t>
            </w:r>
            <w:r w:rsidR="0099040C">
              <w:rPr>
                <w:rStyle w:val="FootnoteReference"/>
                <w:rFonts w:ascii="Arial" w:eastAsia="Times New Roman" w:hAnsi="Arial"/>
                <w:sz w:val="18"/>
                <w:szCs w:val="18"/>
                <w:lang w:eastAsia="de-DE" w:bidi="pa-IN"/>
              </w:rPr>
              <w:footnoteReference w:id="3"/>
            </w:r>
            <w:r w:rsidRPr="00DA502F">
              <w:rPr>
                <w:rFonts w:ascii="Arial" w:eastAsia="Times New Roman" w:hAnsi="Arial" w:cs="Arial"/>
                <w:sz w:val="20"/>
                <w:lang w:eastAsia="en-GB"/>
              </w:rPr>
              <w:t>)</w:t>
            </w:r>
          </w:p>
          <w:p w14:paraId="5A2BD65B" w14:textId="77777777" w:rsidR="00231C0C" w:rsidRPr="00C25FB6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5312" w:type="dxa"/>
            <w:shd w:val="clear" w:color="auto" w:fill="auto"/>
            <w:noWrap/>
          </w:tcPr>
          <w:p w14:paraId="52F32E25" w14:textId="15387B00" w:rsidR="00231C0C" w:rsidRPr="003318F2" w:rsidRDefault="00231C0C" w:rsidP="00231C0C">
            <w:p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>Assessment of the cross-border effects of implementation of the measure.</w:t>
            </w:r>
          </w:p>
          <w:p w14:paraId="563E1429" w14:textId="1B1E558A" w:rsidR="00231C0C" w:rsidRPr="003318F2" w:rsidRDefault="00231C0C" w:rsidP="00231C0C">
            <w:pPr>
              <w:numPr>
                <w:ilvl w:val="0"/>
                <w:numId w:val="3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Assessment of the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</w:t>
            </w:r>
            <w:proofErr w:type="spellEnd"/>
            <w:r w:rsidRPr="003318F2">
              <w:rPr>
                <w:rFonts w:ascii="Arial" w:hAnsi="Arial" w:cs="Arial"/>
                <w:sz w:val="20"/>
                <w:szCs w:val="20"/>
              </w:rPr>
              <w:t xml:space="preserve"> channels operating via risk adjustment and regulatory arbitrage. The relevant indicators provided in Chapter 11 of the ESRB Handbook on Operationalising Macro</w:t>
            </w:r>
            <w:r w:rsidR="0089157B">
              <w:rPr>
                <w:rFonts w:ascii="Arial" w:hAnsi="Arial" w:cs="Arial"/>
                <w:sz w:val="20"/>
                <w:szCs w:val="20"/>
              </w:rPr>
              <w:t>prudential</w:t>
            </w:r>
            <w:r w:rsidRPr="003318F2">
              <w:rPr>
                <w:rFonts w:ascii="Arial" w:hAnsi="Arial" w:cs="Arial"/>
                <w:sz w:val="20"/>
                <w:szCs w:val="20"/>
              </w:rPr>
              <w:t xml:space="preserve"> Policy in the Banking Sector</w:t>
            </w:r>
            <w:r w:rsidRPr="003318F2">
              <w:rPr>
                <w:rStyle w:val="FootnoteReference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4"/>
            </w:r>
            <w:r w:rsidRPr="003318F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and the </w:t>
            </w:r>
            <w:hyperlink r:id="rId9" w:history="1"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Framework to assess cross-border </w:t>
              </w:r>
              <w:proofErr w:type="spellStart"/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>spillover</w:t>
              </w:r>
              <w:proofErr w:type="spellEnd"/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 effects of macroprudential policies</w:t>
              </w:r>
            </w:hyperlink>
            <w:r w:rsidR="0099040C" w:rsidRPr="002D3CED"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  <w:lang w:eastAsia="de-DE" w:bidi="pa-IN"/>
              </w:rPr>
              <w:t xml:space="preserve"> </w:t>
            </w:r>
            <w:r w:rsidRPr="003318F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of the ECB </w:t>
            </w:r>
            <w:r w:rsidRPr="003318F2">
              <w:rPr>
                <w:rFonts w:ascii="Arial" w:hAnsi="Arial" w:cs="Arial"/>
                <w:sz w:val="20"/>
                <w:szCs w:val="20"/>
              </w:rPr>
              <w:t xml:space="preserve">Task Force on cross-border </w:t>
            </w:r>
            <w:proofErr w:type="spellStart"/>
            <w:r w:rsidR="00F35585">
              <w:rPr>
                <w:rFonts w:ascii="Arial" w:hAnsi="Arial" w:cs="Arial"/>
                <w:sz w:val="20"/>
                <w:szCs w:val="20"/>
              </w:rPr>
              <w:t>s</w:t>
            </w:r>
            <w:r w:rsidRPr="003318F2">
              <w:rPr>
                <w:rFonts w:ascii="Arial" w:hAnsi="Arial" w:cs="Arial"/>
                <w:sz w:val="20"/>
                <w:szCs w:val="20"/>
              </w:rPr>
              <w:t>pillover</w:t>
            </w:r>
            <w:proofErr w:type="spell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585">
              <w:rPr>
                <w:rFonts w:ascii="Arial" w:hAnsi="Arial" w:cs="Arial"/>
                <w:sz w:val="20"/>
                <w:szCs w:val="20"/>
              </w:rPr>
              <w:t>e</w:t>
            </w:r>
            <w:r w:rsidRPr="003318F2">
              <w:rPr>
                <w:rFonts w:ascii="Arial" w:hAnsi="Arial" w:cs="Arial"/>
                <w:sz w:val="20"/>
                <w:szCs w:val="20"/>
              </w:rPr>
              <w:t>ffects of macroprudential measures</w:t>
            </w:r>
            <w:r w:rsidRPr="003318F2">
              <w:rPr>
                <w:sz w:val="20"/>
                <w:szCs w:val="20"/>
              </w:rPr>
              <w:t xml:space="preserve"> </w:t>
            </w:r>
            <w:r w:rsidRPr="003318F2">
              <w:rPr>
                <w:rFonts w:ascii="Arial" w:hAnsi="Arial" w:cs="Arial"/>
                <w:sz w:val="20"/>
                <w:szCs w:val="20"/>
              </w:rPr>
              <w:t>can be used.</w:t>
            </w:r>
          </w:p>
          <w:p w14:paraId="2698571E" w14:textId="209749F7" w:rsidR="00231C0C" w:rsidRPr="003318F2" w:rsidRDefault="00231C0C" w:rsidP="00231C0C">
            <w:pPr>
              <w:numPr>
                <w:ilvl w:val="0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>Assessment of</w:t>
            </w:r>
            <w:r w:rsidR="00F35585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318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52D4CB" w14:textId="75C45483" w:rsidR="00231C0C" w:rsidRPr="003318F2" w:rsidRDefault="00231C0C" w:rsidP="00231C0C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lastRenderedPageBreak/>
              <w:t xml:space="preserve">cross-border effects of implementation of the measure in your own jurisdiction (inward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3318F2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2F989F" w14:textId="77777777" w:rsidR="003575F4" w:rsidRDefault="00231C0C" w:rsidP="003575F4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cross-border effects on other Member States and on the Single Market of the measure (outward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3318F2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BA9282" w14:textId="07EB2D70" w:rsidR="00231C0C" w:rsidRPr="003575F4" w:rsidRDefault="00231C0C" w:rsidP="003575F4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75F4">
              <w:rPr>
                <w:rFonts w:ascii="Arial" w:hAnsi="Arial" w:cs="Arial"/>
                <w:sz w:val="20"/>
                <w:szCs w:val="20"/>
              </w:rPr>
              <w:t xml:space="preserve">overall impact on the </w:t>
            </w:r>
            <w:r w:rsidR="003575F4">
              <w:rPr>
                <w:rFonts w:ascii="Arial" w:hAnsi="Arial" w:cs="Arial"/>
                <w:sz w:val="20"/>
                <w:szCs w:val="20"/>
              </w:rPr>
              <w:t>S</w:t>
            </w:r>
            <w:r w:rsidRPr="003575F4">
              <w:rPr>
                <w:rFonts w:ascii="Arial" w:hAnsi="Arial" w:cs="Arial"/>
                <w:sz w:val="20"/>
                <w:szCs w:val="20"/>
              </w:rPr>
              <w:t xml:space="preserve">ingle </w:t>
            </w:r>
            <w:r w:rsidR="003575F4">
              <w:rPr>
                <w:rFonts w:ascii="Arial" w:hAnsi="Arial" w:cs="Arial"/>
                <w:sz w:val="20"/>
                <w:szCs w:val="20"/>
              </w:rPr>
              <w:t>M</w:t>
            </w:r>
            <w:r w:rsidRPr="003575F4">
              <w:rPr>
                <w:rFonts w:ascii="Arial" w:hAnsi="Arial" w:cs="Arial"/>
                <w:sz w:val="20"/>
                <w:szCs w:val="20"/>
              </w:rPr>
              <w:t>arket of implementation of the measure.</w:t>
            </w:r>
          </w:p>
        </w:tc>
      </w:tr>
      <w:tr w:rsidR="00231C0C" w:rsidRPr="00D559D4" w14:paraId="2B565565" w14:textId="77777777" w:rsidTr="0080043B">
        <w:trPr>
          <w:trHeight w:val="2265"/>
        </w:trPr>
        <w:tc>
          <w:tcPr>
            <w:tcW w:w="606" w:type="dxa"/>
            <w:shd w:val="clear" w:color="auto" w:fill="auto"/>
            <w:hideMark/>
          </w:tcPr>
          <w:p w14:paraId="4036EF64" w14:textId="77777777" w:rsidR="00231C0C" w:rsidRPr="00D559D4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373244414" w:edGrp="everyone" w:colFirst="2" w:colLast="2"/>
            <w:permEnd w:id="521893789"/>
            <w:r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168A9577" w14:textId="77777777" w:rsidR="00231C0C" w:rsidRPr="00C25FB6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Assessment of leakages and regulatory arbitrage within the notifying Member State</w:t>
            </w:r>
          </w:p>
        </w:tc>
        <w:tc>
          <w:tcPr>
            <w:tcW w:w="5312" w:type="dxa"/>
            <w:shd w:val="clear" w:color="auto" w:fill="auto"/>
            <w:noWrap/>
          </w:tcPr>
          <w:p w14:paraId="68A2769D" w14:textId="4DF968A5" w:rsidR="00231C0C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Referring to your </w:t>
            </w:r>
            <w:r w:rsidR="003575F4">
              <w:rPr>
                <w:rFonts w:ascii="Arial" w:eastAsia="Times New Roman" w:hAnsi="Arial" w:cs="Arial"/>
                <w:sz w:val="20"/>
                <w:lang w:eastAsia="en-GB"/>
              </w:rPr>
              <w:t>Member State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's specific characteristics, what is the scope for "leakages and regulatory arbitrage"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in your own jurisdiction 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(i.e. circumvention of the measure/leakages to other parts of the financial sector)?</w:t>
            </w:r>
          </w:p>
          <w:p w14:paraId="5D94AA4E" w14:textId="3BAD65FD" w:rsidR="00231C0C" w:rsidRPr="00C25FB6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8510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Is there scope for "leakages and regulatory arbitrage" in other jurisdictions?</w:t>
            </w:r>
          </w:p>
        </w:tc>
      </w:tr>
      <w:tr w:rsidR="00C25FB6" w:rsidRPr="003B1FDD" w14:paraId="3DD614D3" w14:textId="77777777" w:rsidTr="0080043B">
        <w:trPr>
          <w:trHeight w:val="3148"/>
        </w:trPr>
        <w:tc>
          <w:tcPr>
            <w:tcW w:w="606" w:type="dxa"/>
            <w:shd w:val="clear" w:color="auto" w:fill="auto"/>
          </w:tcPr>
          <w:p w14:paraId="2A16BC1D" w14:textId="77777777" w:rsidR="00C25FB6" w:rsidRPr="00D559D4" w:rsidRDefault="00FE29E3" w:rsidP="00C25FB6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087153697" w:edGrp="everyone" w:colFirst="2" w:colLast="2"/>
            <w:permEnd w:id="1373244414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="00A55425"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 w:rsidR="00A55425"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14:paraId="453B75C2" w14:textId="77777777" w:rsidR="00C25FB6" w:rsidRPr="003B1FDD" w:rsidRDefault="00A55425" w:rsidP="00D77C06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Request for reciprocation</w:t>
            </w:r>
          </w:p>
        </w:tc>
        <w:tc>
          <w:tcPr>
            <w:tcW w:w="5312" w:type="dxa"/>
            <w:shd w:val="clear" w:color="auto" w:fill="auto"/>
            <w:noWrap/>
          </w:tcPr>
          <w:p w14:paraId="1B5D0075" w14:textId="0E8C039D" w:rsidR="00231C0C" w:rsidRDefault="006B663B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Do</w:t>
            </w:r>
            <w:r w:rsidR="005A3DB0">
              <w:rPr>
                <w:rFonts w:ascii="Arial" w:eastAsia="Times New Roman" w:hAnsi="Arial" w:cs="Arial"/>
                <w:sz w:val="20"/>
                <w:lang w:eastAsia="en-GB"/>
              </w:rPr>
              <w:t xml:space="preserve"> you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intend to ask</w:t>
            </w:r>
            <w:r w:rsidR="00525010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231C0C"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the ESRB to issue a recommendation to other Member States to reciprocate the measures? </w:t>
            </w:r>
          </w:p>
          <w:sdt>
            <w:sdtPr>
              <w:rPr>
                <w:rFonts w:ascii="Arial" w:eastAsia="Times New Roman" w:hAnsi="Arial" w:cs="Arial"/>
                <w:sz w:val="20"/>
                <w:lang w:eastAsia="en-GB"/>
              </w:rPr>
              <w:id w:val="548503809"/>
              <w:placeholder>
                <w:docPart w:val="7A379A5029DF43EBB454B15854B4159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9E7456B" w14:textId="77777777" w:rsidR="00231C0C" w:rsidRDefault="00231C0C" w:rsidP="00231C0C">
                <w:pPr>
                  <w:spacing w:before="60" w:after="60" w:line="340" w:lineRule="exact"/>
                  <w:rPr>
                    <w:rFonts w:ascii="Arial" w:eastAsia="Times New Roman" w:hAnsi="Arial" w:cs="Arial"/>
                    <w:sz w:val="20"/>
                    <w:lang w:eastAsia="en-GB"/>
                  </w:rPr>
                </w:pPr>
                <w:r w:rsidRPr="0080043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185F0D90" w14:textId="091010C7" w:rsidR="00231C0C" w:rsidRPr="001C2FA2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If yes, please provide in </w:t>
            </w:r>
            <w:r w:rsidR="0089157B"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ection 6.4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9922BD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the justification 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="009922BD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 th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>at</w:t>
            </w:r>
            <w:r w:rsidR="009922BD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 reciprocity request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1521696C" w14:textId="1198122D" w:rsidR="00C25FB6" w:rsidRPr="003B1FDD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If no, what are the reasons for not requesting reciprocation?</w:t>
            </w:r>
          </w:p>
        </w:tc>
      </w:tr>
      <w:tr w:rsidR="00231C0C" w:rsidRPr="003B1FDD" w14:paraId="76BF22C1" w14:textId="77777777" w:rsidTr="0080043B">
        <w:trPr>
          <w:trHeight w:val="5476"/>
        </w:trPr>
        <w:tc>
          <w:tcPr>
            <w:tcW w:w="606" w:type="dxa"/>
            <w:shd w:val="clear" w:color="auto" w:fill="auto"/>
          </w:tcPr>
          <w:p w14:paraId="3CE8C3CD" w14:textId="2F0E774F" w:rsidR="00231C0C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068520888" w:edGrp="everyone" w:colFirst="2" w:colLast="2"/>
            <w:permEnd w:id="2087153697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48AC759A" w14:textId="013873DA" w:rsidR="00231C0C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Justification 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the request for reciprocation</w:t>
            </w:r>
          </w:p>
        </w:tc>
        <w:tc>
          <w:tcPr>
            <w:tcW w:w="5312" w:type="dxa"/>
            <w:shd w:val="clear" w:color="auto" w:fill="auto"/>
            <w:noWrap/>
          </w:tcPr>
          <w:p w14:paraId="04D7B12C" w14:textId="18D3678E" w:rsidR="00231C0C" w:rsidRPr="008311CD" w:rsidRDefault="009922BD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To</w:t>
            </w:r>
            <w:r w:rsidR="00231C0C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 request reciprocation, please provide:</w:t>
            </w:r>
          </w:p>
          <w:p w14:paraId="61B4A1C0" w14:textId="167450FB" w:rsidR="00231C0C" w:rsidRPr="008311CD" w:rsidRDefault="009922BD" w:rsidP="00231C0C">
            <w:pPr>
              <w:pStyle w:val="ListParagraph"/>
              <w:numPr>
                <w:ilvl w:val="0"/>
                <w:numId w:val="10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a </w:t>
            </w:r>
            <w:r w:rsidR="00231C0C" w:rsidRPr="008311CD">
              <w:rPr>
                <w:rFonts w:ascii="Arial" w:eastAsia="Times New Roman" w:hAnsi="Arial" w:cs="Arial"/>
                <w:sz w:val="20"/>
                <w:lang w:eastAsia="en-GB"/>
              </w:rPr>
              <w:t>concise description of the measure to be reciprocated</w:t>
            </w:r>
          </w:p>
          <w:p w14:paraId="69AE2880" w14:textId="7CEB9B8B" w:rsidR="00231C0C" w:rsidRPr="008311CD" w:rsidRDefault="009922BD" w:rsidP="00231C0C">
            <w:pPr>
              <w:pStyle w:val="ListParagraph"/>
              <w:numPr>
                <w:ilvl w:val="0"/>
                <w:numId w:val="10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="00231C0C" w:rsidRPr="008311CD">
              <w:rPr>
                <w:rFonts w:ascii="Arial" w:eastAsia="Times New Roman" w:hAnsi="Arial" w:cs="Arial"/>
                <w:sz w:val="20"/>
                <w:lang w:eastAsia="en-GB"/>
              </w:rPr>
              <w:t>financial stability considerations underlying the reciprocity request, including the reasons why the reciprocity of the activated measure is deemed necessary for its effectiveness.</w:t>
            </w:r>
          </w:p>
          <w:p w14:paraId="5954A9F7" w14:textId="18732B58" w:rsidR="00231C0C" w:rsidRDefault="005A3DB0" w:rsidP="00231C0C">
            <w:pPr>
              <w:pStyle w:val="ListParagraph"/>
              <w:numPr>
                <w:ilvl w:val="0"/>
                <w:numId w:val="10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t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 xml:space="preserve">he </w:t>
            </w:r>
            <w:r w:rsidR="00231C0C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proposed materiality threshold and justification for </w:t>
            </w:r>
            <w:r w:rsidR="009922BD">
              <w:rPr>
                <w:rFonts w:ascii="Arial" w:eastAsia="Times New Roman" w:hAnsi="Arial" w:cs="Arial"/>
                <w:sz w:val="20"/>
                <w:lang w:eastAsia="en-GB"/>
              </w:rPr>
              <w:t xml:space="preserve">that </w:t>
            </w:r>
            <w:r w:rsidR="00231C0C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level. </w:t>
            </w:r>
          </w:p>
          <w:p w14:paraId="1B285E87" w14:textId="4AE86864" w:rsidR="00231C0C" w:rsidRPr="00D559D4" w:rsidRDefault="00231C0C" w:rsidP="00231C0C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If the ESRB deems the request for reciprocation </w:t>
            </w:r>
            <w:r w:rsidR="00EC30F0">
              <w:rPr>
                <w:rFonts w:ascii="Arial" w:eastAsia="Times New Roman" w:hAnsi="Arial" w:cs="Arial"/>
                <w:sz w:val="20"/>
                <w:lang w:eastAsia="en-GB"/>
              </w:rPr>
              <w:t xml:space="preserve">to be 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justified, the description </w:t>
            </w:r>
            <w:r w:rsidR="00EC30F0"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provided 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will form the basis </w:t>
            </w:r>
            <w:r w:rsidR="00EC30F0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translation into all EU official languages </w:t>
            </w:r>
            <w:r w:rsidR="00EC30F0">
              <w:rPr>
                <w:rFonts w:ascii="Arial" w:eastAsia="Times New Roman" w:hAnsi="Arial" w:cs="Arial"/>
                <w:sz w:val="20"/>
                <w:lang w:eastAsia="en-GB"/>
              </w:rPr>
              <w:t>for the purposes of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an update of ESRB </w:t>
            </w:r>
            <w:r w:rsidRPr="0095339E">
              <w:rPr>
                <w:rFonts w:ascii="Arial" w:eastAsia="Times New Roman" w:hAnsi="Arial" w:cs="Arial"/>
                <w:sz w:val="20"/>
                <w:lang w:eastAsia="en-GB"/>
              </w:rPr>
              <w:t>Recommendation 2015/2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</w:tc>
      </w:tr>
      <w:permEnd w:id="1068520888"/>
      <w:tr w:rsidR="00C25FB6" w:rsidRPr="003B1FDD" w14:paraId="177E5BA4" w14:textId="77777777" w:rsidTr="00824334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58E9AC28" w14:textId="77777777" w:rsidR="00C25FB6" w:rsidRPr="00824334" w:rsidRDefault="00A55425" w:rsidP="005E1D32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lastRenderedPageBreak/>
              <w:t>Miscellaneous</w:t>
            </w:r>
          </w:p>
        </w:tc>
      </w:tr>
      <w:tr w:rsidR="00C25FB6" w:rsidRPr="003B1FDD" w14:paraId="49972EE1" w14:textId="77777777" w:rsidTr="00D559D4">
        <w:trPr>
          <w:trHeight w:val="1455"/>
        </w:trPr>
        <w:tc>
          <w:tcPr>
            <w:tcW w:w="606" w:type="dxa"/>
            <w:shd w:val="clear" w:color="auto" w:fill="auto"/>
            <w:hideMark/>
          </w:tcPr>
          <w:p w14:paraId="658E65A3" w14:textId="77777777" w:rsidR="00C25FB6" w:rsidRPr="003B1FDD" w:rsidRDefault="00FE29E3" w:rsidP="00FE29E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315099199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7.1</w:t>
            </w:r>
          </w:p>
        </w:tc>
        <w:tc>
          <w:tcPr>
            <w:tcW w:w="3897" w:type="dxa"/>
            <w:shd w:val="clear" w:color="auto" w:fill="auto"/>
          </w:tcPr>
          <w:p w14:paraId="22DE0DDC" w14:textId="70897628" w:rsidR="00C25FB6" w:rsidRPr="003B1FDD" w:rsidRDefault="00A55425" w:rsidP="009B78F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Contact person(s)</w:t>
            </w:r>
            <w:r w:rsidR="008C203B">
              <w:rPr>
                <w:rFonts w:ascii="Arial" w:eastAsia="Times New Roman" w:hAnsi="Arial" w:cs="Arial"/>
                <w:sz w:val="20"/>
                <w:lang w:eastAsia="en-GB"/>
              </w:rPr>
              <w:t>/mailbox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at notifying authority.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48BB040C" w14:textId="2264CE4F" w:rsidR="009C15B7" w:rsidRPr="003B1FDD" w:rsidRDefault="008C203B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C203B">
              <w:rPr>
                <w:rFonts w:ascii="Arial" w:eastAsia="Times New Roman" w:hAnsi="Arial" w:cs="Arial"/>
                <w:sz w:val="20"/>
                <w:lang w:eastAsia="en-GB"/>
              </w:rPr>
              <w:t>Contact person(s) (name, phone number and e-mail address) and mailbox for further inquiries.</w:t>
            </w:r>
          </w:p>
        </w:tc>
      </w:tr>
      <w:tr w:rsidR="00C25FB6" w:rsidRPr="003B1FDD" w14:paraId="4D83692D" w14:textId="77777777" w:rsidTr="004863DF">
        <w:trPr>
          <w:trHeight w:val="1455"/>
        </w:trPr>
        <w:tc>
          <w:tcPr>
            <w:tcW w:w="606" w:type="dxa"/>
            <w:shd w:val="clear" w:color="auto" w:fill="auto"/>
          </w:tcPr>
          <w:p w14:paraId="47EE4481" w14:textId="77777777" w:rsidR="00C25FB6" w:rsidRPr="003B1FDD" w:rsidRDefault="00FE29E3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62071333" w:edGrp="everyone" w:colFirst="2" w:colLast="2"/>
            <w:permEnd w:id="315099199"/>
            <w:r>
              <w:rPr>
                <w:rFonts w:ascii="Arial" w:eastAsia="Times New Roman" w:hAnsi="Arial" w:cs="Arial"/>
                <w:sz w:val="20"/>
                <w:lang w:eastAsia="en-GB"/>
              </w:rPr>
              <w:t>7</w:t>
            </w:r>
            <w:r w:rsidR="00A55425">
              <w:rPr>
                <w:rFonts w:ascii="Arial" w:eastAsia="Times New Roman" w:hAnsi="Arial" w:cs="Arial"/>
                <w:sz w:val="20"/>
                <w:lang w:eastAsia="en-GB"/>
              </w:rPr>
              <w:t>.2</w:t>
            </w:r>
          </w:p>
        </w:tc>
        <w:tc>
          <w:tcPr>
            <w:tcW w:w="3897" w:type="dxa"/>
            <w:shd w:val="clear" w:color="auto" w:fill="auto"/>
          </w:tcPr>
          <w:p w14:paraId="1AC6EFBE" w14:textId="77777777" w:rsidR="00C25FB6" w:rsidRPr="003B1FDD" w:rsidRDefault="00A55425" w:rsidP="009B78F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Any other relevant information.</w:t>
            </w:r>
          </w:p>
        </w:tc>
        <w:tc>
          <w:tcPr>
            <w:tcW w:w="5312" w:type="dxa"/>
            <w:shd w:val="clear" w:color="auto" w:fill="auto"/>
            <w:noWrap/>
          </w:tcPr>
          <w:p w14:paraId="5CE80E8F" w14:textId="77777777" w:rsidR="00C25FB6" w:rsidRPr="003B1FDD" w:rsidRDefault="00E5079E" w:rsidP="003B1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AF6E93" w14:paraId="5184F053" w14:textId="77777777" w:rsidTr="00AF6E93">
        <w:trPr>
          <w:trHeight w:val="14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0247" w14:textId="77777777" w:rsidR="00AF6E93" w:rsidRDefault="00AF6E9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272401399" w:edGrp="everyone" w:colFirst="2" w:colLast="2"/>
            <w:permEnd w:id="1662071333"/>
            <w:r>
              <w:rPr>
                <w:rFonts w:ascii="Arial" w:eastAsia="Times New Roman" w:hAnsi="Arial" w:cs="Arial"/>
                <w:sz w:val="20"/>
                <w:lang w:eastAsia="en-GB"/>
              </w:rPr>
              <w:t>7.3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131" w14:textId="77777777" w:rsidR="00AF6E93" w:rsidRDefault="00AF6E9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Date of the notification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DEA6" w14:textId="79ABFA12" w:rsidR="00AF6E93" w:rsidRDefault="00AF6E9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the date </w:t>
            </w:r>
            <w:r w:rsidR="00EC30F0">
              <w:rPr>
                <w:rFonts w:ascii="Arial" w:eastAsia="Times New Roman" w:hAnsi="Arial" w:cs="Arial"/>
                <w:sz w:val="20"/>
                <w:lang w:eastAsia="en-GB"/>
              </w:rPr>
              <w:t xml:space="preserve">on which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this notification was uploaded/sent.</w:t>
            </w:r>
          </w:p>
          <w:sdt>
            <w:sdtPr>
              <w:rPr>
                <w:rFonts w:ascii="Arial" w:eastAsia="Times New Roman" w:hAnsi="Arial" w:cs="Arial"/>
                <w:sz w:val="20"/>
                <w:lang w:eastAsia="en-GB"/>
              </w:rPr>
              <w:id w:val="692502377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26A4279" w14:textId="768ABE23" w:rsidR="00AF6E93" w:rsidRDefault="00AF6E93">
                <w:pPr>
                  <w:spacing w:before="60" w:after="60" w:line="340" w:lineRule="exact"/>
                  <w:rPr>
                    <w:rFonts w:ascii="Arial" w:eastAsia="Times New Roman" w:hAnsi="Arial" w:cs="Arial"/>
                    <w:sz w:val="20"/>
                    <w:lang w:eastAsia="en-GB"/>
                  </w:rPr>
                </w:pPr>
                <w:r w:rsidRPr="00AA1E7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permEnd w:id="1272401399"/>
    </w:tbl>
    <w:p w14:paraId="4566CC66" w14:textId="77777777" w:rsidR="00FA4567" w:rsidRDefault="00E5079E" w:rsidP="00D559D4">
      <w:pPr>
        <w:spacing w:before="60" w:after="60" w:line="340" w:lineRule="exact"/>
      </w:pPr>
    </w:p>
    <w:sectPr w:rsidR="00FA4567" w:rsidSect="005272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A279B" w14:textId="77777777" w:rsidR="00E5079E" w:rsidRDefault="00E5079E">
      <w:pPr>
        <w:spacing w:after="0" w:line="240" w:lineRule="auto"/>
      </w:pPr>
      <w:r>
        <w:separator/>
      </w:r>
    </w:p>
  </w:endnote>
  <w:endnote w:type="continuationSeparator" w:id="0">
    <w:p w14:paraId="4AD8BE96" w14:textId="77777777" w:rsidR="00E5079E" w:rsidRDefault="00E5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3798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DF6B2" w14:textId="77777777" w:rsidR="00C80D69" w:rsidRDefault="00A55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DD43E" w14:textId="77777777" w:rsidR="00C80D69" w:rsidRDefault="00E5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89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533F1" w14:textId="77777777" w:rsidR="005272E4" w:rsidRDefault="00A55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5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685BD" w14:textId="174F0BC3" w:rsidR="00D00EEF" w:rsidRPr="00FB0AC5" w:rsidRDefault="009F6CAF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Date of template version: </w:t>
    </w:r>
    <w:r w:rsidR="004615C3">
      <w:rPr>
        <w:rFonts w:ascii="Arial" w:hAnsi="Arial" w:cs="Arial"/>
        <w:b/>
        <w:sz w:val="20"/>
      </w:rPr>
      <w:t>06</w:t>
    </w:r>
    <w:r w:rsidR="00F5261A">
      <w:rPr>
        <w:rFonts w:ascii="Arial" w:hAnsi="Arial" w:cs="Arial"/>
        <w:b/>
        <w:sz w:val="20"/>
      </w:rPr>
      <w:t>-0</w:t>
    </w:r>
    <w:r w:rsidR="004615C3">
      <w:rPr>
        <w:rFonts w:ascii="Arial" w:hAnsi="Arial" w:cs="Arial"/>
        <w:b/>
        <w:sz w:val="20"/>
      </w:rPr>
      <w:t>8</w:t>
    </w:r>
    <w:r w:rsidR="00F5261A">
      <w:rPr>
        <w:rFonts w:ascii="Arial" w:hAnsi="Arial" w:cs="Arial"/>
        <w:b/>
        <w:sz w:val="20"/>
      </w:rPr>
      <w:t>-</w:t>
    </w:r>
    <w:r>
      <w:rPr>
        <w:rFonts w:ascii="Arial" w:hAnsi="Arial" w:cs="Arial"/>
        <w:b/>
        <w:sz w:val="20"/>
      </w:rPr>
      <w:t>202</w:t>
    </w:r>
    <w:r w:rsidR="00293335">
      <w:rPr>
        <w:rFonts w:ascii="Arial" w:hAnsi="Arial" w:cs="Arial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A28C" w14:textId="77777777" w:rsidR="00E5079E" w:rsidRDefault="00E5079E">
      <w:pPr>
        <w:spacing w:after="0" w:line="240" w:lineRule="auto"/>
      </w:pPr>
      <w:r>
        <w:separator/>
      </w:r>
    </w:p>
  </w:footnote>
  <w:footnote w:type="continuationSeparator" w:id="0">
    <w:p w14:paraId="2A37E226" w14:textId="77777777" w:rsidR="00E5079E" w:rsidRDefault="00E5079E">
      <w:pPr>
        <w:spacing w:after="0" w:line="240" w:lineRule="auto"/>
      </w:pPr>
      <w:r>
        <w:continuationSeparator/>
      </w:r>
    </w:p>
  </w:footnote>
  <w:footnote w:id="1">
    <w:p w14:paraId="14EF330C" w14:textId="66248B85" w:rsidR="009F2C12" w:rsidRDefault="009F2C12" w:rsidP="009F2C12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A3630B">
        <w:rPr>
          <w:rFonts w:ascii="Arial" w:hAnsi="Arial" w:cs="Arial"/>
          <w:sz w:val="17"/>
          <w:szCs w:val="17"/>
        </w:rPr>
        <w:t xml:space="preserve"> </w:t>
      </w:r>
      <w:r w:rsidR="00F5261A">
        <w:rPr>
          <w:rFonts w:ascii="Arial" w:hAnsi="Arial" w:cs="Arial"/>
          <w:sz w:val="17"/>
          <w:szCs w:val="17"/>
        </w:rPr>
        <w:t>On request by t</w:t>
      </w:r>
      <w:r w:rsidR="00F5261A" w:rsidRPr="00C376F4">
        <w:rPr>
          <w:rFonts w:ascii="Arial" w:hAnsi="Arial" w:cs="Arial"/>
          <w:sz w:val="17"/>
          <w:szCs w:val="17"/>
        </w:rPr>
        <w:t xml:space="preserve">he notifying authority, </w:t>
      </w:r>
      <w:r w:rsidR="00F5261A">
        <w:rPr>
          <w:rFonts w:ascii="Arial" w:hAnsi="Arial" w:cs="Arial"/>
          <w:sz w:val="17"/>
          <w:szCs w:val="17"/>
        </w:rPr>
        <w:t xml:space="preserve">it may be agreed with </w:t>
      </w:r>
      <w:r w:rsidR="00F5261A" w:rsidRPr="00C376F4">
        <w:rPr>
          <w:rFonts w:ascii="Arial" w:hAnsi="Arial" w:cs="Arial"/>
          <w:sz w:val="17"/>
          <w:szCs w:val="17"/>
        </w:rPr>
        <w:t xml:space="preserve">the Head of the ESRB Secretariat </w:t>
      </w:r>
      <w:r w:rsidR="00F5261A">
        <w:rPr>
          <w:rFonts w:ascii="Arial" w:hAnsi="Arial" w:cs="Arial"/>
          <w:sz w:val="17"/>
          <w:szCs w:val="17"/>
        </w:rPr>
        <w:t xml:space="preserve">that </w:t>
      </w:r>
      <w:r w:rsidR="00F5261A" w:rsidRPr="00C376F4">
        <w:rPr>
          <w:rFonts w:ascii="Arial" w:hAnsi="Arial" w:cs="Arial"/>
          <w:sz w:val="17"/>
          <w:szCs w:val="17"/>
        </w:rPr>
        <w:t>this notification</w:t>
      </w:r>
      <w:r w:rsidR="00F5261A">
        <w:rPr>
          <w:rFonts w:ascii="Arial" w:hAnsi="Arial" w:cs="Arial"/>
          <w:sz w:val="17"/>
          <w:szCs w:val="17"/>
        </w:rPr>
        <w:t>,</w:t>
      </w:r>
      <w:r w:rsidR="00F5261A" w:rsidRPr="00C376F4">
        <w:rPr>
          <w:rFonts w:ascii="Arial" w:hAnsi="Arial" w:cs="Arial"/>
          <w:sz w:val="17"/>
          <w:szCs w:val="17"/>
        </w:rPr>
        <w:t xml:space="preserve"> </w:t>
      </w:r>
      <w:r w:rsidR="00F5261A">
        <w:rPr>
          <w:rFonts w:ascii="Arial" w:hAnsi="Arial" w:cs="Arial"/>
          <w:sz w:val="17"/>
          <w:szCs w:val="17"/>
        </w:rPr>
        <w:t xml:space="preserve">or a part thereof, </w:t>
      </w:r>
      <w:r w:rsidR="00F5261A" w:rsidRPr="00C376F4">
        <w:rPr>
          <w:rFonts w:ascii="Arial" w:hAnsi="Arial" w:cs="Arial"/>
          <w:sz w:val="17"/>
          <w:szCs w:val="17"/>
        </w:rPr>
        <w:t>should not be published</w:t>
      </w:r>
      <w:r w:rsidR="00F5261A">
        <w:rPr>
          <w:rFonts w:ascii="Arial" w:hAnsi="Arial" w:cs="Arial"/>
          <w:sz w:val="17"/>
          <w:szCs w:val="17"/>
        </w:rPr>
        <w:t xml:space="preserve"> for reasons of confidentiality o</w:t>
      </w:r>
      <w:r w:rsidR="009C361D">
        <w:rPr>
          <w:rFonts w:ascii="Arial" w:hAnsi="Arial" w:cs="Arial"/>
          <w:sz w:val="17"/>
          <w:szCs w:val="17"/>
        </w:rPr>
        <w:t>r</w:t>
      </w:r>
      <w:r w:rsidR="00F5261A">
        <w:rPr>
          <w:rFonts w:ascii="Arial" w:hAnsi="Arial" w:cs="Arial"/>
          <w:sz w:val="17"/>
          <w:szCs w:val="17"/>
        </w:rPr>
        <w:t xml:space="preserve"> financial stability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60644E06" w14:textId="2BFE7FE2" w:rsidR="008851B6" w:rsidRPr="003E740B" w:rsidRDefault="008851B6" w:rsidP="008851B6">
      <w:pPr>
        <w:pStyle w:val="FootnoteText"/>
        <w:rPr>
          <w:rFonts w:ascii="Arial" w:hAnsi="Arial" w:cs="Arial"/>
          <w:sz w:val="17"/>
          <w:szCs w:val="17"/>
        </w:rPr>
      </w:pPr>
      <w:r w:rsidRPr="0055529D">
        <w:rPr>
          <w:rStyle w:val="FootnoteReference"/>
          <w:rFonts w:ascii="Arial" w:hAnsi="Arial" w:cs="Arial"/>
          <w:sz w:val="17"/>
          <w:szCs w:val="17"/>
        </w:rPr>
        <w:footnoteRef/>
      </w:r>
      <w:r w:rsidRPr="0055529D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3E740B">
        <w:rPr>
          <w:rFonts w:ascii="Arial" w:hAnsi="Arial" w:cs="Arial"/>
          <w:sz w:val="17"/>
          <w:szCs w:val="17"/>
        </w:rPr>
        <w:t>Recommendation of the European Systemic Risk Board of 4 April 2013 on intermediate objectives and instruments of macro-prudential policy (ESRB/2013/1) (</w:t>
      </w:r>
      <w:r w:rsidRPr="003D0476">
        <w:rPr>
          <w:rFonts w:ascii="Arial" w:hAnsi="Arial" w:cs="Arial"/>
          <w:sz w:val="17"/>
          <w:szCs w:val="17"/>
        </w:rPr>
        <w:t>OJ C 170, 15.6.2013, p. 1)</w:t>
      </w:r>
      <w:r w:rsidR="0089157B">
        <w:rPr>
          <w:rFonts w:ascii="Arial" w:hAnsi="Arial" w:cs="Arial"/>
          <w:sz w:val="17"/>
          <w:szCs w:val="17"/>
        </w:rPr>
        <w:t>.</w:t>
      </w:r>
    </w:p>
  </w:footnote>
  <w:footnote w:id="3">
    <w:p w14:paraId="2CD75E66" w14:textId="77777777" w:rsidR="0099040C" w:rsidRPr="00625100" w:rsidRDefault="0099040C" w:rsidP="0099040C">
      <w:pPr>
        <w:pStyle w:val="FootnoteText"/>
      </w:pPr>
      <w:r w:rsidRPr="0055529D">
        <w:rPr>
          <w:rStyle w:val="FootnoteReference"/>
          <w:rFonts w:ascii="Arial" w:hAnsi="Arial" w:cs="Arial"/>
          <w:sz w:val="17"/>
          <w:szCs w:val="17"/>
        </w:rPr>
        <w:footnoteRef/>
      </w:r>
      <w:r w:rsidRPr="0055529D">
        <w:rPr>
          <w:rStyle w:val="FootnoteReference"/>
          <w:rFonts w:ascii="Arial" w:hAnsi="Arial"/>
          <w:sz w:val="17"/>
          <w:szCs w:val="17"/>
        </w:rPr>
        <w:t xml:space="preserve"> </w:t>
      </w:r>
      <w:r w:rsidRPr="003D0476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(ESRB/2015/3) (OJ C 97, 12.3.2016, p. 9).</w:t>
      </w:r>
    </w:p>
  </w:footnote>
  <w:footnote w:id="4">
    <w:p w14:paraId="45E1428D" w14:textId="77777777" w:rsidR="00231C0C" w:rsidRDefault="00231C0C" w:rsidP="003318F2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55529D">
        <w:rPr>
          <w:rStyle w:val="FootnoteReference"/>
          <w:rFonts w:ascii="Arial" w:hAnsi="Arial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599F" w14:textId="77777777" w:rsidR="00D00EEF" w:rsidRDefault="00A55425" w:rsidP="005272E4">
    <w:pPr>
      <w:pStyle w:val="Header"/>
      <w:tabs>
        <w:tab w:val="clear" w:pos="451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70E3" w14:textId="11D17A72" w:rsidR="00D00EEF" w:rsidRDefault="00163BEE" w:rsidP="00C045C7">
    <w:pPr>
      <w:pStyle w:val="Header"/>
      <w:tabs>
        <w:tab w:val="clear" w:pos="4513"/>
      </w:tabs>
    </w:pPr>
    <w:bookmarkStart w:id="1" w:name="_Hlk72489928"/>
    <w:bookmarkStart w:id="2" w:name="_Hlk72489929"/>
    <w:r>
      <w:rPr>
        <w:noProof/>
        <w:lang w:eastAsia="en-GB"/>
      </w:rPr>
      <w:drawing>
        <wp:inline distT="0" distB="0" distL="0" distR="0" wp14:anchorId="7BFC9753" wp14:editId="109F96BE">
          <wp:extent cx="2221818" cy="403225"/>
          <wp:effectExtent l="0" t="0" r="0" b="0"/>
          <wp:docPr id="2" name="Picture 2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SRB_Logo_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652" cy="46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BC2">
      <w:t xml:space="preserve">         </w:t>
    </w:r>
    <w:r w:rsidR="00A55425">
      <w:tab/>
    </w:r>
    <w:r w:rsidR="000067B4" w:rsidRPr="00C559BE">
      <w:rPr>
        <w:noProof/>
        <w:lang w:eastAsia="en-GB"/>
      </w:rPr>
      <w:drawing>
        <wp:inline distT="0" distB="0" distL="0" distR="0" wp14:anchorId="4C4E046A" wp14:editId="334A2266">
          <wp:extent cx="1501096" cy="739791"/>
          <wp:effectExtent l="0" t="0" r="0" b="0"/>
          <wp:docPr id="10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96" cy="73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C04"/>
    <w:multiLevelType w:val="hybridMultilevel"/>
    <w:tmpl w:val="0A7ECDC4"/>
    <w:lvl w:ilvl="0" w:tplc="3DF097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774B9"/>
    <w:multiLevelType w:val="hybridMultilevel"/>
    <w:tmpl w:val="BFA008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3BC52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D79DC"/>
    <w:multiLevelType w:val="hybridMultilevel"/>
    <w:tmpl w:val="DAC072C0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4750"/>
    <w:multiLevelType w:val="hybridMultilevel"/>
    <w:tmpl w:val="11149042"/>
    <w:lvl w:ilvl="0" w:tplc="D17296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D24B0"/>
    <w:multiLevelType w:val="hybridMultilevel"/>
    <w:tmpl w:val="430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D5F22"/>
    <w:multiLevelType w:val="hybridMultilevel"/>
    <w:tmpl w:val="751C3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1D0F"/>
    <w:multiLevelType w:val="hybridMultilevel"/>
    <w:tmpl w:val="763C5F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C0D30"/>
    <w:multiLevelType w:val="hybridMultilevel"/>
    <w:tmpl w:val="3FDE7EDA"/>
    <w:lvl w:ilvl="0" w:tplc="D17296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55804"/>
    <w:multiLevelType w:val="hybridMultilevel"/>
    <w:tmpl w:val="2214A832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1135"/>
    <w:multiLevelType w:val="hybridMultilevel"/>
    <w:tmpl w:val="820C700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12E2A"/>
    <w:multiLevelType w:val="hybridMultilevel"/>
    <w:tmpl w:val="68FE78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14D7F"/>
    <w:multiLevelType w:val="hybridMultilevel"/>
    <w:tmpl w:val="F40E5F04"/>
    <w:lvl w:ilvl="0" w:tplc="45702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bllOCxoqPDktZy5ColGdoEgc4GfiVDR5+Rk4S6XT8aCDZ/oO37lldpZVjKinEftHJHdMnACRu1PyKNOO5Fz1Q==" w:salt="SpACWYyG9cCAJLVrwjit/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FE"/>
    <w:rsid w:val="000065AF"/>
    <w:rsid w:val="000067B4"/>
    <w:rsid w:val="0001093A"/>
    <w:rsid w:val="00044A49"/>
    <w:rsid w:val="000476AD"/>
    <w:rsid w:val="00055564"/>
    <w:rsid w:val="0006532D"/>
    <w:rsid w:val="00073D29"/>
    <w:rsid w:val="00093A82"/>
    <w:rsid w:val="00103C06"/>
    <w:rsid w:val="00124529"/>
    <w:rsid w:val="00163BEE"/>
    <w:rsid w:val="00176576"/>
    <w:rsid w:val="0018217D"/>
    <w:rsid w:val="0018249A"/>
    <w:rsid w:val="001A7043"/>
    <w:rsid w:val="001B5AB6"/>
    <w:rsid w:val="001C14F3"/>
    <w:rsid w:val="001D79CA"/>
    <w:rsid w:val="0020784E"/>
    <w:rsid w:val="00231C0C"/>
    <w:rsid w:val="00262811"/>
    <w:rsid w:val="002651F6"/>
    <w:rsid w:val="002739A0"/>
    <w:rsid w:val="00275A07"/>
    <w:rsid w:val="00293335"/>
    <w:rsid w:val="0029449D"/>
    <w:rsid w:val="002C21AD"/>
    <w:rsid w:val="002D3CED"/>
    <w:rsid w:val="002E726E"/>
    <w:rsid w:val="002F2F74"/>
    <w:rsid w:val="002F33DB"/>
    <w:rsid w:val="002F3DCD"/>
    <w:rsid w:val="00326E67"/>
    <w:rsid w:val="003575F4"/>
    <w:rsid w:val="00370EEB"/>
    <w:rsid w:val="00385CAA"/>
    <w:rsid w:val="003D0476"/>
    <w:rsid w:val="003E35A5"/>
    <w:rsid w:val="00414E27"/>
    <w:rsid w:val="00422375"/>
    <w:rsid w:val="004354AC"/>
    <w:rsid w:val="00454FF9"/>
    <w:rsid w:val="004615C3"/>
    <w:rsid w:val="004821D1"/>
    <w:rsid w:val="00492CCE"/>
    <w:rsid w:val="00493270"/>
    <w:rsid w:val="004B4C91"/>
    <w:rsid w:val="004B5649"/>
    <w:rsid w:val="004E1942"/>
    <w:rsid w:val="00525010"/>
    <w:rsid w:val="00545119"/>
    <w:rsid w:val="00554542"/>
    <w:rsid w:val="0055529D"/>
    <w:rsid w:val="00570598"/>
    <w:rsid w:val="00572DE2"/>
    <w:rsid w:val="005847B3"/>
    <w:rsid w:val="005A09B3"/>
    <w:rsid w:val="005A3DB0"/>
    <w:rsid w:val="005A6A65"/>
    <w:rsid w:val="005C2E37"/>
    <w:rsid w:val="005F2498"/>
    <w:rsid w:val="005F6E73"/>
    <w:rsid w:val="00626162"/>
    <w:rsid w:val="00631E06"/>
    <w:rsid w:val="00632D6F"/>
    <w:rsid w:val="006508EF"/>
    <w:rsid w:val="0067202E"/>
    <w:rsid w:val="00686B12"/>
    <w:rsid w:val="006B663B"/>
    <w:rsid w:val="006C50F3"/>
    <w:rsid w:val="006E7224"/>
    <w:rsid w:val="00712659"/>
    <w:rsid w:val="00750802"/>
    <w:rsid w:val="00751236"/>
    <w:rsid w:val="00756420"/>
    <w:rsid w:val="00762A2C"/>
    <w:rsid w:val="007778EC"/>
    <w:rsid w:val="0079102B"/>
    <w:rsid w:val="007A6936"/>
    <w:rsid w:val="007D330F"/>
    <w:rsid w:val="0080043B"/>
    <w:rsid w:val="00832429"/>
    <w:rsid w:val="008576F1"/>
    <w:rsid w:val="00861E3E"/>
    <w:rsid w:val="008630FE"/>
    <w:rsid w:val="0087380E"/>
    <w:rsid w:val="0087777B"/>
    <w:rsid w:val="008851B6"/>
    <w:rsid w:val="0089157B"/>
    <w:rsid w:val="008A1DF9"/>
    <w:rsid w:val="008A2C47"/>
    <w:rsid w:val="008C203B"/>
    <w:rsid w:val="008E65AF"/>
    <w:rsid w:val="008F18BC"/>
    <w:rsid w:val="00910368"/>
    <w:rsid w:val="00933F06"/>
    <w:rsid w:val="0093529E"/>
    <w:rsid w:val="009449E6"/>
    <w:rsid w:val="00974F3C"/>
    <w:rsid w:val="0099040C"/>
    <w:rsid w:val="009922BD"/>
    <w:rsid w:val="0099419E"/>
    <w:rsid w:val="009A2943"/>
    <w:rsid w:val="009B1927"/>
    <w:rsid w:val="009B5A9D"/>
    <w:rsid w:val="009B751F"/>
    <w:rsid w:val="009C15B7"/>
    <w:rsid w:val="009C361D"/>
    <w:rsid w:val="009F2C12"/>
    <w:rsid w:val="009F64E8"/>
    <w:rsid w:val="009F6CAF"/>
    <w:rsid w:val="00A31882"/>
    <w:rsid w:val="00A4275F"/>
    <w:rsid w:val="00A53E97"/>
    <w:rsid w:val="00A55425"/>
    <w:rsid w:val="00A631AA"/>
    <w:rsid w:val="00AA1E7A"/>
    <w:rsid w:val="00AD2CC4"/>
    <w:rsid w:val="00AD658B"/>
    <w:rsid w:val="00AF6E93"/>
    <w:rsid w:val="00B73006"/>
    <w:rsid w:val="00BA34A5"/>
    <w:rsid w:val="00BC59CD"/>
    <w:rsid w:val="00BD3B3C"/>
    <w:rsid w:val="00BD428F"/>
    <w:rsid w:val="00BF720F"/>
    <w:rsid w:val="00C00EF1"/>
    <w:rsid w:val="00C03BFF"/>
    <w:rsid w:val="00C20341"/>
    <w:rsid w:val="00C35553"/>
    <w:rsid w:val="00CB1D9F"/>
    <w:rsid w:val="00CB4F65"/>
    <w:rsid w:val="00CC063C"/>
    <w:rsid w:val="00CC246D"/>
    <w:rsid w:val="00CE060B"/>
    <w:rsid w:val="00CE6922"/>
    <w:rsid w:val="00D24D6F"/>
    <w:rsid w:val="00D50067"/>
    <w:rsid w:val="00D52C89"/>
    <w:rsid w:val="00D56045"/>
    <w:rsid w:val="00D706AF"/>
    <w:rsid w:val="00D716F4"/>
    <w:rsid w:val="00D91A96"/>
    <w:rsid w:val="00DB5BC2"/>
    <w:rsid w:val="00DC01F1"/>
    <w:rsid w:val="00DD3B21"/>
    <w:rsid w:val="00DE5041"/>
    <w:rsid w:val="00DE5B1E"/>
    <w:rsid w:val="00DF04A0"/>
    <w:rsid w:val="00DF2621"/>
    <w:rsid w:val="00E33B80"/>
    <w:rsid w:val="00E5079E"/>
    <w:rsid w:val="00E72DB7"/>
    <w:rsid w:val="00E85054"/>
    <w:rsid w:val="00EC30F0"/>
    <w:rsid w:val="00EE5F09"/>
    <w:rsid w:val="00EE6229"/>
    <w:rsid w:val="00EE63B2"/>
    <w:rsid w:val="00F35585"/>
    <w:rsid w:val="00F5261A"/>
    <w:rsid w:val="00F609B7"/>
    <w:rsid w:val="00F91DF4"/>
    <w:rsid w:val="00FA19EC"/>
    <w:rsid w:val="00FE29E3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E2075"/>
  <w15:docId w15:val="{070EE662-AE59-4947-82E2-62400F71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1F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FDD"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ímsor 5 Char1,Znak Znak Char,C26 Footnote Number,Footnote Reference_LVL65,Re,Ref,R"/>
    <w:rsid w:val="003B1FDD"/>
    <w:rPr>
      <w:rFonts w:ascii="Times New Roman" w:hAnsi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EF"/>
  </w:style>
  <w:style w:type="paragraph" w:styleId="Footer">
    <w:name w:val="footer"/>
    <w:basedOn w:val="Normal"/>
    <w:link w:val="FooterChar"/>
    <w:uiPriority w:val="99"/>
    <w:unhideWhenUsed/>
    <w:rsid w:val="00D0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EF"/>
  </w:style>
  <w:style w:type="character" w:styleId="Hyperlink">
    <w:name w:val="Hyperlink"/>
    <w:basedOn w:val="DefaultParagraphFont"/>
    <w:uiPriority w:val="99"/>
    <w:unhideWhenUsed/>
    <w:rsid w:val="005272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C01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0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esrb.europa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cropru.notifications@ecb.europa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b.europa.eu/pub/pdf/other/ecb.200428_framework_to_assess_cross-border_spillovers_of_macroprudential_policies~72576c7b4e.en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D4D2D9D0134A199AE056F0C06E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0CA1-00C5-424C-A0D0-CE02CD0D528B}"/>
      </w:docPartPr>
      <w:docPartBody>
        <w:p w:rsidR="00D5502C" w:rsidRDefault="00C83C07" w:rsidP="00C83C07">
          <w:pPr>
            <w:pStyle w:val="4BD4D2D9D0134A199AE056F0C06E6B52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7B5E5FF6465A4B70B441664F94E9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B897-F804-4DF9-8832-EC5660A7DD09}"/>
      </w:docPartPr>
      <w:docPartBody>
        <w:p w:rsidR="00D5502C" w:rsidRDefault="00C83C07" w:rsidP="00C83C07">
          <w:pPr>
            <w:pStyle w:val="7B5E5FF6465A4B70B441664F94E9E793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68E4EEE512454AC0AA3F4097EAD0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7669-408C-49C1-8252-AFB20D36FA34}"/>
      </w:docPartPr>
      <w:docPartBody>
        <w:p w:rsidR="00D5502C" w:rsidRDefault="00C83C07" w:rsidP="00C83C07">
          <w:pPr>
            <w:pStyle w:val="68E4EEE512454AC0AA3F4097EAD0A5DF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474BE3C4C01D4BBDA6A7FD59FC63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4A67-B62D-4DE8-850E-CEF591EB771C}"/>
      </w:docPartPr>
      <w:docPartBody>
        <w:p w:rsidR="00D5502C" w:rsidRDefault="00C83C07" w:rsidP="00C83C07">
          <w:pPr>
            <w:pStyle w:val="474BE3C4C01D4BBDA6A7FD59FC635A11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1B62-E3B6-414D-A014-0D78E9A550A8}"/>
      </w:docPartPr>
      <w:docPartBody>
        <w:p w:rsidR="00A8739E" w:rsidRDefault="00C41021">
          <w:r w:rsidRPr="002E2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379A5029DF43EBB454B15854B4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C95C-AEF0-4894-A9DE-409D5A70195F}"/>
      </w:docPartPr>
      <w:docPartBody>
        <w:p w:rsidR="007F43B7" w:rsidRDefault="00A8739E" w:rsidP="00A8739E">
          <w:pPr>
            <w:pStyle w:val="7A379A5029DF43EBB454B15854B4159F"/>
          </w:pPr>
          <w:r w:rsidRPr="00647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706"/>
    <w:rsid w:val="00050947"/>
    <w:rsid w:val="00080BA7"/>
    <w:rsid w:val="000D7954"/>
    <w:rsid w:val="00112707"/>
    <w:rsid w:val="00113016"/>
    <w:rsid w:val="00171685"/>
    <w:rsid w:val="00190C52"/>
    <w:rsid w:val="001D456C"/>
    <w:rsid w:val="002276E0"/>
    <w:rsid w:val="00245D84"/>
    <w:rsid w:val="002B727A"/>
    <w:rsid w:val="002F6706"/>
    <w:rsid w:val="003343C2"/>
    <w:rsid w:val="003C68FE"/>
    <w:rsid w:val="00457426"/>
    <w:rsid w:val="00465450"/>
    <w:rsid w:val="005A4240"/>
    <w:rsid w:val="005D6CF0"/>
    <w:rsid w:val="005F4489"/>
    <w:rsid w:val="006037AF"/>
    <w:rsid w:val="006C04AF"/>
    <w:rsid w:val="00763DDB"/>
    <w:rsid w:val="00764413"/>
    <w:rsid w:val="0078274F"/>
    <w:rsid w:val="007864FC"/>
    <w:rsid w:val="007D0540"/>
    <w:rsid w:val="007F43B7"/>
    <w:rsid w:val="008D4211"/>
    <w:rsid w:val="00977843"/>
    <w:rsid w:val="0099022B"/>
    <w:rsid w:val="009C2166"/>
    <w:rsid w:val="00A2783A"/>
    <w:rsid w:val="00A8739E"/>
    <w:rsid w:val="00AE1B89"/>
    <w:rsid w:val="00B538A9"/>
    <w:rsid w:val="00C41021"/>
    <w:rsid w:val="00C83C07"/>
    <w:rsid w:val="00D2076D"/>
    <w:rsid w:val="00D5502C"/>
    <w:rsid w:val="00D97A5A"/>
    <w:rsid w:val="00E416FB"/>
    <w:rsid w:val="00E53405"/>
    <w:rsid w:val="00E85DF2"/>
    <w:rsid w:val="00EC1F9A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39E"/>
    <w:rPr>
      <w:color w:val="808080"/>
    </w:rPr>
  </w:style>
  <w:style w:type="paragraph" w:customStyle="1" w:styleId="4BD4D2D9D0134A199AE056F0C06E6B52">
    <w:name w:val="4BD4D2D9D0134A199AE056F0C06E6B52"/>
    <w:rsid w:val="00C83C07"/>
  </w:style>
  <w:style w:type="paragraph" w:customStyle="1" w:styleId="7B5E5FF6465A4B70B441664F94E9E793">
    <w:name w:val="7B5E5FF6465A4B70B441664F94E9E793"/>
    <w:rsid w:val="00C83C07"/>
  </w:style>
  <w:style w:type="paragraph" w:customStyle="1" w:styleId="68E4EEE512454AC0AA3F4097EAD0A5DF">
    <w:name w:val="68E4EEE512454AC0AA3F4097EAD0A5DF"/>
    <w:rsid w:val="00C83C07"/>
  </w:style>
  <w:style w:type="paragraph" w:customStyle="1" w:styleId="474BE3C4C01D4BBDA6A7FD59FC635A11">
    <w:name w:val="474BE3C4C01D4BBDA6A7FD59FC635A11"/>
    <w:rsid w:val="00C83C07"/>
  </w:style>
  <w:style w:type="paragraph" w:customStyle="1" w:styleId="7A379A5029DF43EBB454B15854B4159F">
    <w:name w:val="7A379A5029DF43EBB454B15854B4159F"/>
    <w:rsid w:val="00A873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6</Pages>
  <Words>1165</Words>
  <Characters>6647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notifying national macroprudential measures not covered by the CRR and the CRD</dc:title>
  <dc:creator>Lavinia.Forcellese@ecb.europa.eu</dc:creator>
  <cp:lastModifiedBy>Forcellese, Lavinia</cp:lastModifiedBy>
  <cp:revision>34</cp:revision>
  <dcterms:created xsi:type="dcterms:W3CDTF">2021-07-12T14:11:00Z</dcterms:created>
  <dcterms:modified xsi:type="dcterms:W3CDTF">2021-09-30T12:08:00Z</dcterms:modified>
</cp:coreProperties>
</file>