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D642" w14:textId="77F3CCAE" w:rsidR="00414662" w:rsidRDefault="00D81178" w:rsidP="00414662">
      <w:pPr>
        <w:keepNext/>
        <w:spacing w:before="240" w:after="60"/>
        <w:jc w:val="both"/>
        <w:outlineLvl w:val="0"/>
        <w:rPr>
          <w:rFonts w:ascii="Arial" w:eastAsia="Times New Roman" w:hAnsi="Arial" w:cs="Arial"/>
          <w:b/>
          <w:bCs/>
          <w:color w:val="003399"/>
          <w:kern w:val="32"/>
          <w:sz w:val="28"/>
          <w:szCs w:val="28"/>
          <w:lang w:eastAsia="de-DE" w:bidi="pa-IN"/>
        </w:rPr>
      </w:pPr>
      <w:bookmarkStart w:id="0" w:name="_Toc372211843"/>
      <w:r w:rsidRPr="003520D9">
        <w:rPr>
          <w:rFonts w:ascii="Arial" w:eastAsia="Times New Roman" w:hAnsi="Arial" w:cs="Arial"/>
          <w:b/>
          <w:bCs/>
          <w:color w:val="003399"/>
          <w:kern w:val="32"/>
          <w:sz w:val="28"/>
          <w:szCs w:val="28"/>
          <w:lang w:eastAsia="de-DE" w:bidi="pa-IN"/>
        </w:rPr>
        <w:t>Template for notifying</w:t>
      </w:r>
      <w:r w:rsidR="00A7380D">
        <w:rPr>
          <w:rFonts w:ascii="Arial" w:eastAsia="Times New Roman" w:hAnsi="Arial" w:cs="Arial"/>
          <w:b/>
          <w:bCs/>
          <w:color w:val="003399"/>
          <w:kern w:val="32"/>
          <w:sz w:val="28"/>
          <w:szCs w:val="28"/>
          <w:lang w:eastAsia="de-DE" w:bidi="pa-IN"/>
        </w:rPr>
        <w:t xml:space="preserve"> </w:t>
      </w:r>
      <w:r w:rsidRPr="003520D9">
        <w:rPr>
          <w:rFonts w:ascii="Arial" w:eastAsia="Times New Roman" w:hAnsi="Arial" w:cs="Arial"/>
          <w:b/>
          <w:bCs/>
          <w:color w:val="003399"/>
          <w:kern w:val="32"/>
          <w:sz w:val="28"/>
          <w:szCs w:val="28"/>
          <w:lang w:eastAsia="de-DE" w:bidi="pa-IN"/>
        </w:rPr>
        <w:t>countercyclical capital buffer rates (</w:t>
      </w:r>
      <w:proofErr w:type="spellStart"/>
      <w:r w:rsidRPr="003520D9">
        <w:rPr>
          <w:rFonts w:ascii="Arial" w:eastAsia="Times New Roman" w:hAnsi="Arial" w:cs="Arial"/>
          <w:b/>
          <w:bCs/>
          <w:color w:val="003399"/>
          <w:kern w:val="32"/>
          <w:sz w:val="28"/>
          <w:szCs w:val="28"/>
          <w:lang w:eastAsia="de-DE" w:bidi="pa-IN"/>
        </w:rPr>
        <w:t>CC</w:t>
      </w:r>
      <w:r w:rsidR="002B5CD9">
        <w:rPr>
          <w:rFonts w:ascii="Arial" w:eastAsia="Times New Roman" w:hAnsi="Arial" w:cs="Arial"/>
          <w:b/>
          <w:bCs/>
          <w:color w:val="003399"/>
          <w:kern w:val="32"/>
          <w:sz w:val="28"/>
          <w:szCs w:val="28"/>
          <w:lang w:eastAsia="de-DE" w:bidi="pa-IN"/>
        </w:rPr>
        <w:t>y</w:t>
      </w:r>
      <w:r w:rsidRPr="003520D9">
        <w:rPr>
          <w:rFonts w:ascii="Arial" w:eastAsia="Times New Roman" w:hAnsi="Arial" w:cs="Arial"/>
          <w:b/>
          <w:bCs/>
          <w:color w:val="003399"/>
          <w:kern w:val="32"/>
          <w:sz w:val="28"/>
          <w:szCs w:val="28"/>
          <w:lang w:eastAsia="de-DE" w:bidi="pa-IN"/>
        </w:rPr>
        <w:t>B</w:t>
      </w:r>
      <w:proofErr w:type="spellEnd"/>
      <w:r w:rsidRPr="003520D9">
        <w:rPr>
          <w:rFonts w:ascii="Arial" w:eastAsia="Times New Roman" w:hAnsi="Arial" w:cs="Arial"/>
          <w:b/>
          <w:bCs/>
          <w:color w:val="003399"/>
          <w:kern w:val="32"/>
          <w:sz w:val="28"/>
          <w:szCs w:val="28"/>
          <w:lang w:eastAsia="de-DE" w:bidi="pa-IN"/>
        </w:rPr>
        <w:t>)</w:t>
      </w:r>
      <w:bookmarkEnd w:id="0"/>
    </w:p>
    <w:p w14:paraId="2A1E1020" w14:textId="2367CACE" w:rsidR="006425ED" w:rsidRDefault="006425ED" w:rsidP="006425ED">
      <w:pPr>
        <w:rPr>
          <w:rFonts w:ascii="Arial" w:hAnsi="Arial" w:cs="Arial"/>
          <w:b/>
        </w:rPr>
      </w:pPr>
      <w:r w:rsidRPr="00312888">
        <w:rPr>
          <w:rFonts w:ascii="Arial" w:hAnsi="Arial" w:cs="Arial"/>
          <w:b/>
        </w:rPr>
        <w:t xml:space="preserve">Template for notifying the </w:t>
      </w:r>
      <w:r w:rsidR="00180E40" w:rsidRPr="00180E40">
        <w:rPr>
          <w:rFonts w:ascii="Arial" w:hAnsi="Arial" w:cs="Arial"/>
          <w:b/>
        </w:rPr>
        <w:t>European Central Bank (ECB)</w:t>
      </w:r>
      <w:r w:rsidRPr="00312888">
        <w:rPr>
          <w:rFonts w:ascii="Arial" w:hAnsi="Arial" w:cs="Arial"/>
          <w:b/>
        </w:rPr>
        <w:t xml:space="preserve"> o</w:t>
      </w:r>
      <w:r w:rsidR="00180E40">
        <w:rPr>
          <w:rFonts w:ascii="Arial" w:hAnsi="Arial" w:cs="Arial"/>
          <w:b/>
        </w:rPr>
        <w:t>f</w:t>
      </w:r>
      <w:r w:rsidRPr="00312888">
        <w:rPr>
          <w:rFonts w:ascii="Arial" w:hAnsi="Arial" w:cs="Arial"/>
          <w:b/>
        </w:rPr>
        <w:t xml:space="preserve"> </w:t>
      </w:r>
      <w:proofErr w:type="spellStart"/>
      <w:r w:rsidR="00287226">
        <w:rPr>
          <w:rFonts w:ascii="Arial" w:hAnsi="Arial" w:cs="Arial"/>
          <w:b/>
        </w:rPr>
        <w:t>CCyB</w:t>
      </w:r>
      <w:proofErr w:type="spellEnd"/>
      <w:r w:rsidR="001634A4">
        <w:rPr>
          <w:rFonts w:ascii="Arial" w:hAnsi="Arial" w:cs="Arial"/>
          <w:b/>
        </w:rPr>
        <w:t xml:space="preserve"> rates under </w:t>
      </w:r>
      <w:r>
        <w:rPr>
          <w:rFonts w:ascii="Arial" w:hAnsi="Arial" w:cs="Arial"/>
          <w:b/>
        </w:rPr>
        <w:t xml:space="preserve">Article 136 </w:t>
      </w:r>
      <w:r w:rsidR="00180E40" w:rsidRPr="00180E40">
        <w:rPr>
          <w:rFonts w:ascii="Arial" w:hAnsi="Arial" w:cs="Arial"/>
          <w:b/>
        </w:rPr>
        <w:t>of the Capital Requirements Directives (CRD)</w:t>
      </w:r>
      <w:r>
        <w:rPr>
          <w:rFonts w:ascii="Arial" w:hAnsi="Arial" w:cs="Arial"/>
          <w:b/>
        </w:rPr>
        <w:t xml:space="preserve"> </w:t>
      </w:r>
    </w:p>
    <w:p w14:paraId="41D9C6DB" w14:textId="1517BF8E" w:rsidR="000359EE" w:rsidRPr="007C0EC5" w:rsidRDefault="00D81178" w:rsidP="007C0EC5">
      <w:pPr>
        <w:keepNext/>
        <w:spacing w:before="240"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7C0EC5">
        <w:rPr>
          <w:rFonts w:ascii="Arial" w:eastAsia="Times New Roman" w:hAnsi="Arial" w:cs="Arial"/>
          <w:sz w:val="20"/>
          <w:szCs w:val="20"/>
          <w:lang w:eastAsia="en-GB"/>
        </w:rPr>
        <w:t>Please send this template to</w:t>
      </w:r>
      <w:r w:rsidR="001634A4">
        <w:rPr>
          <w:rFonts w:ascii="Arial" w:hAnsi="Arial" w:cs="Arial"/>
          <w:sz w:val="20"/>
          <w:szCs w:val="20"/>
        </w:rPr>
        <w:t xml:space="preserve"> </w:t>
      </w:r>
      <w:hyperlink r:id="rId8" w:history="1"/>
      <w:hyperlink r:id="rId9" w:history="1">
        <w:r w:rsidRPr="007C0EC5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macropru.notifications@ecb.europa.eu</w:t>
        </w:r>
      </w:hyperlink>
      <w:r w:rsidRPr="007C0EC5">
        <w:rPr>
          <w:rFonts w:ascii="Arial" w:eastAsia="Times New Roman" w:hAnsi="Arial" w:cs="Arial"/>
          <w:sz w:val="20"/>
          <w:szCs w:val="20"/>
          <w:lang w:eastAsia="en-GB"/>
        </w:rPr>
        <w:t xml:space="preserve"> when notifying the ECB.</w:t>
      </w:r>
      <w:r w:rsidR="001634A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5AAEA66F" w14:textId="100D60B6" w:rsidR="008563B5" w:rsidRPr="00D80015" w:rsidRDefault="00D80015" w:rsidP="00D80015">
      <w:pPr>
        <w:spacing w:after="0" w:line="240" w:lineRule="auto"/>
        <w:rPr>
          <w:rFonts w:cs="Calibri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When notifying the </w:t>
      </w:r>
      <w:r w:rsidR="00287226">
        <w:rPr>
          <w:rFonts w:ascii="Arial" w:eastAsia="Times New Roman" w:hAnsi="Arial" w:cs="Arial"/>
          <w:sz w:val="20"/>
          <w:szCs w:val="20"/>
          <w:lang w:eastAsia="en-GB"/>
        </w:rPr>
        <w:t>European Systemic Risk Board (</w:t>
      </w:r>
      <w:r>
        <w:rPr>
          <w:rFonts w:ascii="Arial" w:eastAsia="Times New Roman" w:hAnsi="Arial" w:cs="Arial"/>
          <w:sz w:val="20"/>
          <w:szCs w:val="20"/>
          <w:lang w:eastAsia="en-GB"/>
        </w:rPr>
        <w:t>ESRB</w:t>
      </w:r>
      <w:r w:rsidR="00287226">
        <w:rPr>
          <w:rFonts w:ascii="Arial" w:eastAsia="Times New Roman" w:hAnsi="Arial" w:cs="Arial"/>
          <w:sz w:val="20"/>
          <w:szCs w:val="20"/>
          <w:lang w:eastAsia="en-GB"/>
        </w:rPr>
        <w:t>)</w:t>
      </w:r>
      <w:r>
        <w:rPr>
          <w:rFonts w:ascii="Arial" w:eastAsia="Times New Roman" w:hAnsi="Arial" w:cs="Arial"/>
          <w:sz w:val="20"/>
          <w:szCs w:val="20"/>
          <w:lang w:eastAsia="en-GB"/>
        </w:rPr>
        <w:t>, please use</w:t>
      </w:r>
      <w:r w:rsidR="00D30117" w:rsidRPr="00D80015">
        <w:rPr>
          <w:rStyle w:val="Hyperlink"/>
        </w:rPr>
        <w:t xml:space="preserve"> </w:t>
      </w:r>
      <w:hyperlink r:id="rId10" w:tgtFrame="_blank" w:tooltip="https://epsilon.escb.eu/limesurvey3/351523" w:history="1">
        <w:r w:rsidRPr="00D80015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https://epsilon.escb.eu/limesurvey3/351523</w:t>
        </w:r>
      </w:hyperlink>
      <w:r>
        <w:rPr>
          <w:rFonts w:cs="Calibri"/>
          <w:lang w:eastAsia="en-GB"/>
        </w:rPr>
        <w:t>.</w:t>
      </w:r>
    </w:p>
    <w:p w14:paraId="7933D938" w14:textId="2D9CE811" w:rsidR="00E33FAB" w:rsidRPr="003520D9" w:rsidRDefault="00D81178" w:rsidP="00E33FAB">
      <w:pPr>
        <w:pStyle w:val="ListParagraph"/>
        <w:keepNext/>
        <w:spacing w:before="240" w:after="60"/>
        <w:ind w:left="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3520D9">
        <w:rPr>
          <w:rFonts w:ascii="Arial" w:eastAsia="Times New Roman" w:hAnsi="Arial" w:cs="Arial"/>
          <w:sz w:val="20"/>
          <w:szCs w:val="20"/>
          <w:lang w:eastAsia="en-GB"/>
        </w:rPr>
        <w:t>E</w:t>
      </w:r>
      <w:r w:rsidR="00180E40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3520D9">
        <w:rPr>
          <w:rFonts w:ascii="Arial" w:eastAsia="Times New Roman" w:hAnsi="Arial" w:cs="Arial"/>
          <w:sz w:val="20"/>
          <w:szCs w:val="20"/>
          <w:lang w:eastAsia="en-GB"/>
        </w:rPr>
        <w:t>mailing this template to the above addresses constitutes official notification</w:t>
      </w:r>
      <w:r w:rsidR="00180E40">
        <w:rPr>
          <w:rFonts w:ascii="Arial" w:eastAsia="Times New Roman" w:hAnsi="Arial" w:cs="Arial"/>
          <w:sz w:val="20"/>
          <w:szCs w:val="20"/>
          <w:lang w:eastAsia="en-GB"/>
        </w:rPr>
        <w:t>;</w:t>
      </w:r>
      <w:r w:rsidRPr="003520D9">
        <w:rPr>
          <w:rFonts w:ascii="Arial" w:eastAsia="Times New Roman" w:hAnsi="Arial" w:cs="Arial"/>
          <w:sz w:val="20"/>
          <w:szCs w:val="20"/>
          <w:lang w:eastAsia="en-GB"/>
        </w:rPr>
        <w:t xml:space="preserve"> no further official letter is required.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180E40">
        <w:rPr>
          <w:rFonts w:ascii="Arial" w:eastAsia="Times New Roman" w:hAnsi="Arial" w:cs="Arial"/>
          <w:sz w:val="20"/>
          <w:szCs w:val="20"/>
          <w:lang w:eastAsia="en-GB"/>
        </w:rPr>
        <w:t>T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o facilitate the work of the notified authorities, please send the notification template in a format that allows </w:t>
      </w:r>
      <w:r w:rsidR="00180E40">
        <w:rPr>
          <w:rFonts w:ascii="Arial" w:eastAsia="Times New Roman" w:hAnsi="Arial" w:cs="Arial"/>
          <w:sz w:val="20"/>
          <w:szCs w:val="20"/>
          <w:lang w:eastAsia="en-GB"/>
        </w:rPr>
        <w:t xml:space="preserve">the information to be read </w:t>
      </w:r>
      <w:r>
        <w:rPr>
          <w:rFonts w:ascii="Arial" w:eastAsia="Times New Roman" w:hAnsi="Arial" w:cs="Arial"/>
          <w:sz w:val="20"/>
          <w:szCs w:val="20"/>
          <w:lang w:eastAsia="en-GB"/>
        </w:rPr>
        <w:t>electronically.</w:t>
      </w:r>
    </w:p>
    <w:p w14:paraId="552144EF" w14:textId="77777777" w:rsidR="004C407B" w:rsidRPr="003520D9" w:rsidRDefault="00A26248" w:rsidP="001E7D77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6114"/>
      </w:tblGrid>
      <w:tr w:rsidR="00CE11D8" w:rsidRPr="003520D9" w14:paraId="59ACD70C" w14:textId="77777777" w:rsidTr="00BB0990">
        <w:trPr>
          <w:trHeight w:val="567"/>
        </w:trPr>
        <w:tc>
          <w:tcPr>
            <w:tcW w:w="9700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85E6DF2" w14:textId="77777777" w:rsidR="00414662" w:rsidRPr="00ED6193" w:rsidRDefault="00D81178" w:rsidP="00A866B0">
            <w:pPr>
              <w:numPr>
                <w:ilvl w:val="0"/>
                <w:numId w:val="4"/>
              </w:num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66362672"/>
            <w:r w:rsidRPr="00ED6193">
              <w:rPr>
                <w:rFonts w:ascii="Arial" w:hAnsi="Arial" w:cs="Arial"/>
                <w:b/>
                <w:sz w:val="20"/>
                <w:szCs w:val="20"/>
              </w:rPr>
              <w:t>Notifying designated authority and scope of the notification</w:t>
            </w:r>
          </w:p>
        </w:tc>
      </w:tr>
      <w:tr w:rsidR="00093D1E" w:rsidRPr="003520D9" w14:paraId="1C6E708C" w14:textId="77777777" w:rsidTr="00CE11D8">
        <w:trPr>
          <w:trHeight w:val="567"/>
        </w:trPr>
        <w:tc>
          <w:tcPr>
            <w:tcW w:w="35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C2C432" w14:textId="77777777" w:rsidR="00414662" w:rsidRPr="00ED6193" w:rsidRDefault="00D81178" w:rsidP="00410E08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permStart w:id="904033852" w:edGrp="everyone" w:colFirst="1" w:colLast="1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1.1 Name of the notifying authority</w:t>
            </w:r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ED8E08" w14:textId="4D81B3E5" w:rsidR="00414662" w:rsidRPr="00BF7504" w:rsidRDefault="00C70B97" w:rsidP="007D1DEB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F7504">
              <w:rPr>
                <w:rFonts w:ascii="Arial" w:hAnsi="Arial" w:cs="Arial"/>
                <w:sz w:val="20"/>
                <w:szCs w:val="20"/>
              </w:rPr>
              <w:t xml:space="preserve">Please provide the name of the </w:t>
            </w:r>
            <w:r w:rsidR="00E83CA1">
              <w:rPr>
                <w:rFonts w:ascii="Arial" w:hAnsi="Arial" w:cs="Arial"/>
                <w:sz w:val="20"/>
                <w:szCs w:val="20"/>
              </w:rPr>
              <w:t xml:space="preserve">notifying </w:t>
            </w:r>
            <w:r w:rsidRPr="00BF7504">
              <w:rPr>
                <w:rFonts w:ascii="Arial" w:hAnsi="Arial" w:cs="Arial"/>
                <w:sz w:val="20"/>
                <w:szCs w:val="20"/>
              </w:rPr>
              <w:t>authority.</w:t>
            </w:r>
          </w:p>
        </w:tc>
      </w:tr>
      <w:tr w:rsidR="00667F86" w:rsidRPr="003520D9" w14:paraId="3E1E537A" w14:textId="77777777" w:rsidTr="00CE11D8">
        <w:trPr>
          <w:trHeight w:val="567"/>
        </w:trPr>
        <w:tc>
          <w:tcPr>
            <w:tcW w:w="35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EE6BFE" w14:textId="2030CCD9" w:rsidR="00667F86" w:rsidRPr="00ED6193" w:rsidRDefault="00667F86" w:rsidP="00667F86">
            <w:pPr>
              <w:spacing w:before="120" w:after="12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1911444027" w:edGrp="everyone" w:colFirst="1" w:colLast="1"/>
            <w:permEnd w:id="904033852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1.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Country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of the notifying authority</w:t>
            </w:r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B1C6A5" w14:textId="3C0729BE" w:rsidR="00667F86" w:rsidRPr="00ED6193" w:rsidRDefault="00A877E0" w:rsidP="00667F86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6864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Please </w:t>
            </w:r>
            <w:r w:rsidR="00920B01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insert</w:t>
            </w:r>
            <w:r w:rsidRPr="00EF6864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the country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F6864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of the </w:t>
            </w:r>
            <w:r w:rsidR="00E83CA1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notifying</w:t>
            </w:r>
            <w:r w:rsidR="00920B01" w:rsidRPr="00EF6864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F6864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authority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.</w:t>
            </w:r>
          </w:p>
        </w:tc>
      </w:tr>
      <w:tr w:rsidR="00667F86" w:rsidRPr="003520D9" w14:paraId="56B5E598" w14:textId="77777777" w:rsidTr="00CE11D8">
        <w:trPr>
          <w:trHeight w:val="567"/>
        </w:trPr>
        <w:tc>
          <w:tcPr>
            <w:tcW w:w="35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061B5" w14:textId="6DD13036" w:rsidR="00667F86" w:rsidRPr="00ED6193" w:rsidRDefault="00667F86" w:rsidP="00667F86">
            <w:pPr>
              <w:spacing w:before="120" w:after="12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106067435" w:edGrp="everyone" w:colFirst="1" w:colLast="1"/>
            <w:permEnd w:id="1911444027"/>
            <w:r w:rsidRPr="001E7B83">
              <w:rPr>
                <w:rFonts w:ascii="Arial" w:eastAsia="Times New Roman" w:hAnsi="Arial" w:cs="Arial"/>
                <w:b/>
                <w:sz w:val="20"/>
                <w:szCs w:val="18"/>
                <w:lang w:eastAsia="de-DE" w:bidi="pa-IN"/>
              </w:rPr>
              <w:t>1.</w:t>
            </w:r>
            <w:r>
              <w:rPr>
                <w:rFonts w:ascii="Arial" w:eastAsia="Times New Roman" w:hAnsi="Arial" w:cs="Arial"/>
                <w:b/>
                <w:sz w:val="20"/>
                <w:szCs w:val="18"/>
                <w:lang w:eastAsia="de-DE" w:bidi="pa-IN"/>
              </w:rPr>
              <w:t>3</w:t>
            </w:r>
            <w:r w:rsidRPr="001E7B83">
              <w:rPr>
                <w:rFonts w:ascii="Arial" w:eastAsia="Times New Roman" w:hAnsi="Arial" w:cs="Arial"/>
                <w:b/>
                <w:sz w:val="20"/>
                <w:szCs w:val="18"/>
                <w:lang w:eastAsia="de-DE" w:bidi="pa-IN"/>
              </w:rPr>
              <w:t xml:space="preserve"> Type of measure </w:t>
            </w:r>
            <w:r w:rsidR="00C70B97" w:rsidRPr="001E7B83">
              <w:rPr>
                <w:rFonts w:ascii="Arial" w:eastAsia="Times New Roman" w:hAnsi="Arial" w:cs="Arial"/>
                <w:b/>
                <w:sz w:val="20"/>
                <w:szCs w:val="18"/>
                <w:lang w:eastAsia="de-DE" w:bidi="pa-IN"/>
              </w:rPr>
              <w:t>intended</w:t>
            </w:r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8081B" w14:textId="77777777" w:rsidR="00614781" w:rsidRPr="00614781" w:rsidRDefault="00614781" w:rsidP="00614781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61478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Which </w:t>
            </w:r>
            <w:proofErr w:type="spellStart"/>
            <w:r w:rsidRPr="0061478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CCyB</w:t>
            </w:r>
            <w:proofErr w:type="spellEnd"/>
            <w:r w:rsidRPr="0061478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measure do you intend to implement?</w:t>
            </w:r>
          </w:p>
          <w:p w14:paraId="09FBD7FE" w14:textId="7276CDE1" w:rsidR="00614781" w:rsidRPr="00ED101D" w:rsidRDefault="00614781" w:rsidP="00614781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Increase a </w:t>
            </w:r>
            <w:proofErr w:type="spellStart"/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CCyB</w:t>
            </w:r>
            <w:proofErr w:type="spellEnd"/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rate from 0%</w:t>
            </w:r>
            <w:r w:rsidRPr="00ED10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to a positive value</w:t>
            </w:r>
          </w:p>
          <w:p w14:paraId="1D99D922" w14:textId="52C51418" w:rsidR="00614781" w:rsidRPr="00614781" w:rsidRDefault="00614781" w:rsidP="00614781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Decrease a</w:t>
            </w:r>
            <w:r w:rsidRPr="00ED10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 existing </w:t>
            </w:r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positive </w:t>
            </w:r>
            <w:proofErr w:type="spellStart"/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CCyB</w:t>
            </w:r>
            <w:proofErr w:type="spellEnd"/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rate </w:t>
            </w:r>
            <w:r w:rsidRPr="00ED10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to a rate of</w:t>
            </w:r>
            <w:r w:rsidRPr="00614781">
              <w:rPr>
                <w:rFonts w:ascii="Arial" w:eastAsia="Times New Roman" w:hAnsi="Arial" w:cs="Arial"/>
                <w:color w:val="ED7D31"/>
                <w:sz w:val="20"/>
                <w:szCs w:val="20"/>
                <w:lang w:eastAsia="de-DE"/>
              </w:rPr>
              <w:t xml:space="preserve"> </w:t>
            </w:r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0%</w:t>
            </w:r>
          </w:p>
          <w:p w14:paraId="322BA71F" w14:textId="6DA0B129" w:rsidR="00614781" w:rsidRPr="00614781" w:rsidRDefault="00614781" w:rsidP="00614781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Change </w:t>
            </w:r>
            <w:r w:rsidRPr="00ED10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 level of</w:t>
            </w:r>
            <w:r w:rsidRPr="00614781">
              <w:rPr>
                <w:rFonts w:ascii="Arial" w:eastAsia="Times New Roman" w:hAnsi="Arial" w:cs="Arial"/>
                <w:color w:val="ED7D31"/>
                <w:sz w:val="20"/>
                <w:szCs w:val="20"/>
                <w:lang w:eastAsia="de-DE"/>
              </w:rPr>
              <w:t xml:space="preserve"> </w:t>
            </w:r>
            <w:r w:rsidRPr="00ED10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 existing</w:t>
            </w:r>
            <w:r w:rsidRPr="00614781">
              <w:rPr>
                <w:rFonts w:ascii="Arial" w:eastAsia="Times New Roman" w:hAnsi="Arial" w:cs="Arial"/>
                <w:color w:val="ED7D31"/>
                <w:sz w:val="20"/>
                <w:szCs w:val="20"/>
                <w:lang w:eastAsia="de-DE"/>
              </w:rPr>
              <w:t xml:space="preserve"> </w:t>
            </w:r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positive </w:t>
            </w:r>
            <w:proofErr w:type="spellStart"/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CCyB</w:t>
            </w:r>
            <w:proofErr w:type="spellEnd"/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rate</w:t>
            </w:r>
          </w:p>
          <w:p w14:paraId="77C83569" w14:textId="45874BE1" w:rsidR="00667F86" w:rsidRPr="00D872F3" w:rsidRDefault="00614781" w:rsidP="0061478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Maintain the existing </w:t>
            </w:r>
            <w:proofErr w:type="spellStart"/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CCyB</w:t>
            </w:r>
            <w:proofErr w:type="spellEnd"/>
            <w:r w:rsidRPr="00614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rate</w:t>
            </w:r>
          </w:p>
        </w:tc>
      </w:tr>
      <w:bookmarkEnd w:id="1"/>
      <w:permEnd w:id="106067435"/>
      <w:tr w:rsidR="00667F86" w:rsidRPr="003520D9" w14:paraId="7BFECD27" w14:textId="77777777" w:rsidTr="00BB0990">
        <w:trPr>
          <w:trHeight w:val="567"/>
        </w:trPr>
        <w:tc>
          <w:tcPr>
            <w:tcW w:w="9700" w:type="dxa"/>
            <w:gridSpan w:val="2"/>
            <w:shd w:val="clear" w:color="auto" w:fill="A6A6A6"/>
            <w:vAlign w:val="center"/>
          </w:tcPr>
          <w:p w14:paraId="1B35DA27" w14:textId="5B6179B7" w:rsidR="00667F86" w:rsidRPr="00ED6193" w:rsidRDefault="00667F86" w:rsidP="00667F86">
            <w:pPr>
              <w:numPr>
                <w:ilvl w:val="0"/>
                <w:numId w:val="4"/>
              </w:num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D6193">
              <w:rPr>
                <w:rFonts w:ascii="Arial" w:hAnsi="Arial" w:cs="Arial"/>
                <w:b/>
                <w:sz w:val="20"/>
                <w:szCs w:val="20"/>
              </w:rPr>
              <w:t xml:space="preserve">Notification requirements for the setting of </w:t>
            </w:r>
            <w:proofErr w:type="spellStart"/>
            <w:r w:rsidR="00287226">
              <w:rPr>
                <w:rFonts w:ascii="Arial" w:hAnsi="Arial" w:cs="Arial"/>
                <w:b/>
                <w:sz w:val="20"/>
                <w:szCs w:val="20"/>
              </w:rPr>
              <w:t>CCyB</w:t>
            </w:r>
            <w:proofErr w:type="spellEnd"/>
            <w:r w:rsidRPr="00ED6193">
              <w:rPr>
                <w:rFonts w:ascii="Arial" w:hAnsi="Arial" w:cs="Arial"/>
                <w:b/>
                <w:sz w:val="20"/>
                <w:szCs w:val="20"/>
              </w:rPr>
              <w:t xml:space="preserve"> rates as </w:t>
            </w:r>
            <w:r w:rsidR="00C70B97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ED6193">
              <w:rPr>
                <w:rFonts w:ascii="Arial" w:hAnsi="Arial" w:cs="Arial"/>
                <w:b/>
                <w:sz w:val="20"/>
                <w:szCs w:val="20"/>
              </w:rPr>
              <w:t xml:space="preserve"> Article 136.7 </w:t>
            </w:r>
            <w:r w:rsidR="00C70B97" w:rsidRPr="00ED6193">
              <w:rPr>
                <w:rFonts w:ascii="Arial" w:hAnsi="Arial" w:cs="Arial"/>
                <w:b/>
                <w:sz w:val="20"/>
                <w:szCs w:val="20"/>
              </w:rPr>
              <w:t xml:space="preserve">CRD </w:t>
            </w:r>
            <w:r w:rsidRPr="00ED6193">
              <w:rPr>
                <w:rFonts w:ascii="Arial" w:hAnsi="Arial" w:cs="Arial"/>
                <w:b/>
                <w:sz w:val="20"/>
                <w:szCs w:val="20"/>
              </w:rPr>
              <w:t>in co</w:t>
            </w:r>
            <w:r w:rsidR="00C70B97">
              <w:rPr>
                <w:rFonts w:ascii="Arial" w:hAnsi="Arial" w:cs="Arial"/>
                <w:b/>
                <w:sz w:val="20"/>
                <w:szCs w:val="20"/>
              </w:rPr>
              <w:t xml:space="preserve">njunction </w:t>
            </w:r>
            <w:r w:rsidRPr="00ED6193">
              <w:rPr>
                <w:rFonts w:ascii="Arial" w:hAnsi="Arial" w:cs="Arial"/>
                <w:b/>
                <w:sz w:val="20"/>
                <w:szCs w:val="20"/>
              </w:rPr>
              <w:t>with Recommendation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D6193">
              <w:rPr>
                <w:rFonts w:ascii="Arial" w:hAnsi="Arial" w:cs="Arial"/>
                <w:b/>
                <w:sz w:val="20"/>
                <w:szCs w:val="20"/>
              </w:rPr>
              <w:t>ESRB/2014/1</w:t>
            </w:r>
            <w:r w:rsidR="00C70B97">
              <w:rPr>
                <w:rStyle w:val="FootnoteReference"/>
                <w:rFonts w:ascii="Arial" w:hAnsi="Arial"/>
                <w:b/>
                <w:sz w:val="20"/>
                <w:szCs w:val="20"/>
              </w:rPr>
              <w:footnoteReference w:id="1"/>
            </w:r>
          </w:p>
        </w:tc>
      </w:tr>
      <w:tr w:rsidR="00667F86" w:rsidRPr="003520D9" w14:paraId="7C0691BD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791139D7" w14:textId="13F07DB9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color w:val="808080"/>
                <w:sz w:val="20"/>
                <w:szCs w:val="20"/>
                <w:lang w:eastAsia="de-DE" w:bidi="pa-IN"/>
              </w:rPr>
            </w:pPr>
            <w:permStart w:id="1407917579" w:edGrp="everyone" w:colFirst="1" w:colLast="1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2.1 Applicable </w:t>
            </w:r>
            <w:proofErr w:type="spellStart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CC</w:t>
            </w:r>
            <w:r w:rsidR="00F81385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y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B</w:t>
            </w:r>
            <w:proofErr w:type="spellEnd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rate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24E4E3DE" w14:textId="716C0CCB" w:rsidR="00667F86" w:rsidRPr="00ED6193" w:rsidDel="00A621E7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Specify the level of the </w:t>
            </w:r>
            <w:proofErr w:type="spellStart"/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CC</w:t>
            </w:r>
            <w:r w:rsidR="002040E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y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(according to Art</w:t>
            </w:r>
            <w:r w:rsidR="00FA643D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icle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136</w:t>
            </w:r>
            <w:r w:rsidR="00D2002A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7</w:t>
            </w:r>
            <w:r w:rsidR="00D2002A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)(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a</w:t>
            </w:r>
            <w:r w:rsidR="00D2002A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</w:t>
            </w:r>
            <w:r w:rsidR="00E3724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CRD).</w:t>
            </w:r>
          </w:p>
        </w:tc>
      </w:tr>
      <w:tr w:rsidR="00667F86" w:rsidRPr="003520D9" w14:paraId="543724E7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2311F48D" w14:textId="0E9CE6E6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910111808" w:edGrp="everyone" w:colFirst="1" w:colLast="1"/>
            <w:permEnd w:id="1407917579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2.2 Credit-to-GDP ratio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(including </w:t>
            </w:r>
            <w:r w:rsidR="00FA643D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reference date)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02DF867D" w14:textId="5A0EA4C4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Article 136</w:t>
            </w:r>
            <w:r w:rsidR="00E3724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7</w:t>
            </w:r>
            <w:r w:rsidR="00E3724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)(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b</w:t>
            </w:r>
            <w:r w:rsidR="00E3724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CRD.</w:t>
            </w:r>
          </w:p>
        </w:tc>
      </w:tr>
      <w:tr w:rsidR="00667F86" w:rsidRPr="003520D9" w14:paraId="61432206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628F944D" w14:textId="569CDC43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1805211502" w:edGrp="everyone" w:colFirst="1" w:colLast="1"/>
            <w:permEnd w:id="910111808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2.3 Standardised credit-to-GDP gap (deviation of the credit-to-GDP from its long-term trend)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(including </w:t>
            </w:r>
            <w:r w:rsidR="00FA643D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reference date)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39392B69" w14:textId="4A35982E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Article 136</w:t>
            </w:r>
            <w:r w:rsidR="00E3724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7</w:t>
            </w:r>
            <w:r w:rsidR="00E3724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)(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b</w:t>
            </w:r>
            <w:r w:rsidR="00E3724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CRD/</w:t>
            </w:r>
            <w:r w:rsidRPr="00ED6193">
              <w:rPr>
                <w:rFonts w:ascii="Arial" w:hAnsi="Arial" w:cs="Arial"/>
                <w:sz w:val="20"/>
                <w:szCs w:val="20"/>
                <w:lang w:eastAsia="de-DE" w:bidi="pa-IN"/>
              </w:rPr>
              <w:t xml:space="preserve">Recommendation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ESRB 2014/1</w:t>
            </w:r>
            <w:r w:rsidR="00FA643D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,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Rec</w:t>
            </w:r>
            <w:r w:rsidR="00FA643D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.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B</w:t>
            </w:r>
            <w:r w:rsidR="00C9456F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(1 and 5)</w:t>
            </w:r>
          </w:p>
        </w:tc>
      </w:tr>
      <w:tr w:rsidR="00667F86" w:rsidRPr="003520D9" w14:paraId="772AE138" w14:textId="77777777" w:rsidTr="000A5E36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677D39F0" w14:textId="34FB6733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1123818155" w:edGrp="everyone" w:colFirst="1" w:colLast="1"/>
            <w:permEnd w:id="1805211502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2.</w:t>
            </w:r>
            <w:r w:rsidR="003F43FF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4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Additional credit-to-GDP gap (deviation of the credit-to-GDP from its long-term trend) – if 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lastRenderedPageBreak/>
              <w:t>applicable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(including </w:t>
            </w:r>
            <w:r w:rsidR="00FA643D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reference date)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4A248C65" w14:textId="27CCB58C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lastRenderedPageBreak/>
              <w:t>Article 136</w:t>
            </w:r>
            <w:r w:rsidR="001F3209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7</w:t>
            </w:r>
            <w:r w:rsidR="001F3209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)(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b</w:t>
            </w:r>
            <w:r w:rsidR="001F3209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CRD/</w:t>
            </w:r>
            <w:r w:rsidRPr="00ED6193">
              <w:rPr>
                <w:rFonts w:ascii="Arial" w:hAnsi="Arial" w:cs="Arial"/>
                <w:sz w:val="20"/>
                <w:szCs w:val="20"/>
                <w:lang w:eastAsia="de-DE" w:bidi="pa-IN"/>
              </w:rPr>
              <w:t xml:space="preserve">Recommendation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ESRB 2014/1</w:t>
            </w:r>
            <w:r w:rsidR="00FA643D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,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Rec</w:t>
            </w:r>
            <w:r w:rsidR="00FA643D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.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B</w:t>
            </w:r>
            <w:r w:rsidR="00C9456F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(2 and 5)</w:t>
            </w:r>
          </w:p>
        </w:tc>
      </w:tr>
      <w:tr w:rsidR="00667F86" w:rsidRPr="003520D9" w14:paraId="79DFCD84" w14:textId="77777777" w:rsidTr="000A5E36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430F1C14" w14:textId="640D7AA3" w:rsidR="00667F86" w:rsidRPr="003520D9" w:rsidRDefault="00667F86" w:rsidP="00667F8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729289279" w:edGrp="everyone" w:colFirst="1" w:colLast="1"/>
            <w:permEnd w:id="1123818155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2.</w:t>
            </w:r>
            <w:r w:rsidR="003F43FF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5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Additional quantitative and qualitative information that pertains to the credit cycle – if applicable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35B4F31F" w14:textId="27881FEC" w:rsidR="00667F86" w:rsidRPr="0001309F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Recommendation ESRB 2014/1</w:t>
            </w:r>
            <w:r w:rsidR="001A7CC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,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Rec</w:t>
            </w:r>
            <w:r w:rsidR="001A7CC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.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C</w:t>
            </w:r>
            <w:r w:rsidR="001A7CC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.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D</w:t>
            </w:r>
            <w:r w:rsidRPr="0001309F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escription of the data (other than credit-to-GDP) or methodology used to gauge the risk of excessive credit growth</w:t>
            </w:r>
            <w:r w:rsidR="001A7CC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.</w:t>
            </w:r>
          </w:p>
        </w:tc>
      </w:tr>
      <w:tr w:rsidR="00667F86" w:rsidRPr="003520D9" w14:paraId="50444E0D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19DC3851" w14:textId="08433A54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1839221243" w:edGrp="everyone" w:colFirst="1" w:colLast="1"/>
            <w:permEnd w:id="729289279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2.</w:t>
            </w:r>
            <w:r w:rsidR="003F43FF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6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Standardised benchmark buffer rate 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30693C8A" w14:textId="63EFE074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Article 136</w:t>
            </w:r>
            <w:r w:rsidR="000C14B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7</w:t>
            </w:r>
            <w:r w:rsidR="000C14B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)(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</w:t>
            </w:r>
            <w:r w:rsidR="000C14B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CRD/</w:t>
            </w:r>
            <w:r w:rsidRPr="00ED6193">
              <w:rPr>
                <w:rFonts w:ascii="Arial" w:hAnsi="Arial" w:cs="Arial"/>
                <w:sz w:val="20"/>
                <w:szCs w:val="20"/>
                <w:lang w:eastAsia="de-DE" w:bidi="pa-IN"/>
              </w:rPr>
              <w:t xml:space="preserve">Recommendation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ESRB 2014/1</w:t>
            </w:r>
            <w:r w:rsidR="001A7CC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,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Rec</w:t>
            </w:r>
            <w:r w:rsidR="001A7CC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.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B</w:t>
            </w:r>
            <w:r w:rsidR="00C9456F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(3 and 5)</w:t>
            </w:r>
          </w:p>
        </w:tc>
      </w:tr>
      <w:tr w:rsidR="00667F86" w:rsidRPr="003520D9" w14:paraId="26CBA772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67733358" w14:textId="1B905164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177369706" w:edGrp="everyone" w:colFirst="1" w:colLast="1"/>
            <w:permEnd w:id="1839221243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2.</w:t>
            </w:r>
            <w:r w:rsidR="003F43FF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7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Additional benchmark buffer rate – if applicable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4985A304" w14:textId="69A4A8B5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Article </w:t>
            </w:r>
            <w:r w:rsidR="000C14BC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136</w:t>
            </w:r>
            <w:r w:rsidR="000C14B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 w:rsidR="000C14BC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7</w:t>
            </w:r>
            <w:r w:rsidR="000C14B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)(</w:t>
            </w:r>
            <w:r w:rsidR="000C14BC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</w:t>
            </w:r>
            <w:r w:rsidR="000C14B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</w:t>
            </w:r>
            <w:r w:rsidR="000C14BC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CRD/</w:t>
            </w:r>
            <w:r w:rsidRPr="00ED6193">
              <w:rPr>
                <w:rFonts w:ascii="Arial" w:hAnsi="Arial" w:cs="Arial"/>
                <w:sz w:val="20"/>
                <w:szCs w:val="20"/>
                <w:lang w:eastAsia="de-DE" w:bidi="pa-IN"/>
              </w:rPr>
              <w:t xml:space="preserve">Recommendation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ESRB 2014/1</w:t>
            </w:r>
            <w:r w:rsidR="001A7CC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,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Rec</w:t>
            </w:r>
            <w:r w:rsidR="001A7CC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.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B</w:t>
            </w:r>
            <w:r w:rsidR="00C9456F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(3 and 5)</w:t>
            </w:r>
          </w:p>
        </w:tc>
      </w:tr>
      <w:tr w:rsidR="00667F86" w:rsidRPr="003520D9" w14:paraId="17AF3F70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6DE395D4" w14:textId="33C8E90A" w:rsidR="00667F86" w:rsidRPr="00ED6193" w:rsidRDefault="00667F86" w:rsidP="00667F86">
            <w:pPr>
              <w:pStyle w:val="Default"/>
              <w:rPr>
                <w:rFonts w:ascii="Arial" w:hAnsi="Arial" w:cs="Arial"/>
              </w:rPr>
            </w:pPr>
            <w:permStart w:id="1867130808" w:edGrp="everyone" w:colFirst="1" w:colLast="1"/>
            <w:permEnd w:id="177369706"/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de-DE" w:bidi="pa-IN"/>
              </w:rPr>
              <w:t>2.</w:t>
            </w:r>
            <w:r w:rsidR="003F43FF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de-DE" w:bidi="pa-IN"/>
              </w:rPr>
              <w:t>8</w:t>
            </w:r>
            <w:r w:rsidRPr="00ED619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de-DE" w:bidi="pa-IN"/>
              </w:rPr>
              <w:t xml:space="preserve"> The chosen buffer guide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4EF7E8EA" w14:textId="4658A311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Article </w:t>
            </w:r>
            <w:r w:rsidR="000C14BC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136</w:t>
            </w:r>
            <w:r w:rsidR="000C14B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 w:rsidR="000C14BC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7</w:t>
            </w:r>
            <w:r w:rsidR="000C14B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)(</w:t>
            </w:r>
            <w:r w:rsidR="000C14BC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</w:t>
            </w:r>
            <w:r w:rsidR="000C14B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</w:t>
            </w:r>
            <w:r w:rsidR="000C14BC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CRD/</w:t>
            </w:r>
            <w:r w:rsidRPr="00ED6193">
              <w:rPr>
                <w:rFonts w:ascii="Arial" w:hAnsi="Arial" w:cs="Arial"/>
                <w:sz w:val="20"/>
                <w:szCs w:val="20"/>
                <w:lang w:eastAsia="de-DE" w:bidi="pa-IN"/>
              </w:rPr>
              <w:t xml:space="preserve">Recommendation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ESRB 2014/1</w:t>
            </w:r>
            <w:r w:rsidR="001A7CC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,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Rec</w:t>
            </w:r>
            <w:r w:rsidR="001A7CC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.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B</w:t>
            </w:r>
            <w:r w:rsidR="00C9456F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(4)</w:t>
            </w:r>
          </w:p>
        </w:tc>
      </w:tr>
      <w:tr w:rsidR="00667F86" w:rsidRPr="003520D9" w14:paraId="6B4263E7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39216AC7" w14:textId="5FE86C53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1840000081" w:edGrp="everyone" w:colFirst="1" w:colLast="1"/>
            <w:permEnd w:id="1867130808"/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2.</w:t>
            </w:r>
            <w:r w:rsidR="003F43FF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9</w:t>
            </w:r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Justification for th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e</w:t>
            </w:r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buffer rate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520A2BE2" w14:textId="30B2E1A5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e.g. description of the systemic risk (Article </w:t>
            </w:r>
            <w:r w:rsidR="000D30FE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136</w:t>
            </w:r>
            <w:r w:rsidR="000D30FE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 w:rsidR="000D30FE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7</w:t>
            </w:r>
            <w:r w:rsidR="000D30FE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)(d)</w:t>
            </w:r>
            <w:r w:rsidR="000D30FE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CRD) and the reason for a deviation from the buffer guide</w:t>
            </w:r>
          </w:p>
        </w:tc>
      </w:tr>
      <w:tr w:rsidR="00667F86" w:rsidRPr="003520D9" w14:paraId="719D4954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6CFF76D9" w14:textId="747CF5D5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753678066" w:edGrp="everyone" w:colFirst="1" w:colLast="1"/>
            <w:permEnd w:id="1840000081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2.</w:t>
            </w:r>
            <w:r w:rsidR="003F43FF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10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Date from which institutions must apply the new buffer rate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1F7F4C42" w14:textId="4D7BBE54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Article </w:t>
            </w:r>
            <w:r w:rsidR="00EF0CB7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136</w:t>
            </w:r>
            <w:r w:rsidR="00EF0CB7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 w:rsidR="00EF0CB7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7</w:t>
            </w:r>
            <w:r w:rsidR="00EF0CB7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)(e)</w:t>
            </w:r>
            <w:r w:rsidR="00EF0CB7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CRD</w:t>
            </w:r>
          </w:p>
        </w:tc>
      </w:tr>
      <w:tr w:rsidR="00667F86" w:rsidRPr="003520D9" w14:paraId="7A1F17D0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3A13150D" w14:textId="0C1BF470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1063982069" w:edGrp="everyone" w:colFirst="1" w:colLast="1"/>
            <w:permEnd w:id="753678066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2.</w:t>
            </w:r>
            <w:r w:rsidR="003F43FF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11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Exceptional circumstances </w:t>
            </w:r>
            <w:r w:rsidR="00B43827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that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justify a period of less than 12 months for application of the new increased buffer rate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091B5F2E" w14:textId="6FF0EC42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Article </w:t>
            </w:r>
            <w:r w:rsidR="00EF0CB7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136</w:t>
            </w:r>
            <w:r w:rsidR="00EF0CB7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 w:rsidR="00EF0CB7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7</w:t>
            </w:r>
            <w:r w:rsidR="00EF0CB7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)(f)</w:t>
            </w:r>
            <w:r w:rsidR="00EF0CB7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CRD</w:t>
            </w:r>
          </w:p>
        </w:tc>
      </w:tr>
      <w:tr w:rsidR="00667F86" w:rsidRPr="003520D9" w14:paraId="1A2F0A49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15E177EF" w14:textId="277D1A19" w:rsidR="00667F86" w:rsidRPr="00ED6193" w:rsidRDefault="00667F86" w:rsidP="00667F8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474028657" w:edGrp="everyone" w:colFirst="1" w:colLast="1"/>
            <w:permEnd w:id="1063982069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2.</w:t>
            </w:r>
            <w:r w:rsidR="003F43FF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12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I</w:t>
            </w:r>
            <w:r w:rsidR="00B43827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f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the buffer rate is decreased, indicative period during which no increase in the buffer rate is expected 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05C2B88F" w14:textId="5FA06087" w:rsidR="00667F86" w:rsidRPr="00154217" w:rsidRDefault="00667F86" w:rsidP="00667F8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Article </w:t>
            </w:r>
            <w:r w:rsidR="00EF0CB7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136</w:t>
            </w:r>
            <w:r w:rsidR="00EF0CB7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 w:rsidR="00EF0CB7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7</w:t>
            </w:r>
            <w:r w:rsidR="00EF0CB7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)(g)</w:t>
            </w:r>
            <w:r w:rsidR="00EF0CB7"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D</w:t>
            </w:r>
          </w:p>
        </w:tc>
      </w:tr>
      <w:permEnd w:id="474028657"/>
      <w:tr w:rsidR="00667F86" w:rsidRPr="003520D9" w14:paraId="70FBB8DC" w14:textId="77777777" w:rsidTr="00BB0990">
        <w:trPr>
          <w:trHeight w:val="567"/>
        </w:trPr>
        <w:tc>
          <w:tcPr>
            <w:tcW w:w="9700" w:type="dxa"/>
            <w:gridSpan w:val="2"/>
            <w:shd w:val="clear" w:color="auto" w:fill="A6A6A6"/>
            <w:vAlign w:val="center"/>
          </w:tcPr>
          <w:p w14:paraId="568615B6" w14:textId="07F62EF2" w:rsidR="00667F86" w:rsidRPr="00ED6193" w:rsidRDefault="00667F86" w:rsidP="00667F86">
            <w:pPr>
              <w:numPr>
                <w:ilvl w:val="0"/>
                <w:numId w:val="4"/>
              </w:num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D6193"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>Cross-border and cross-sector impact of the measure</w:t>
            </w:r>
            <w:r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 xml:space="preserve"> as per</w:t>
            </w:r>
            <w:r w:rsidRPr="00ED6193"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 xml:space="preserve"> 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Recommendation ESRB/2015/</w:t>
            </w:r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</w:t>
            </w:r>
            <w:r w:rsidR="001B41F4">
              <w:rPr>
                <w:rStyle w:val="FootnoteReference"/>
                <w:rFonts w:ascii="Arial" w:eastAsia="Times New Roman" w:hAnsi="Arial"/>
                <w:b/>
                <w:sz w:val="18"/>
                <w:szCs w:val="18"/>
                <w:lang w:eastAsia="de-DE" w:bidi="pa-IN"/>
              </w:rPr>
              <w:footnoteReference w:id="2"/>
            </w:r>
          </w:p>
        </w:tc>
      </w:tr>
      <w:tr w:rsidR="00761CC9" w:rsidRPr="003520D9" w:rsidDel="00416D9F" w14:paraId="58491AE1" w14:textId="77777777" w:rsidTr="00F5085D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03EFD6A6" w14:textId="4C384BFF" w:rsidR="00761CC9" w:rsidRPr="00ED6193" w:rsidRDefault="00761CC9" w:rsidP="00761CC9">
            <w:pPr>
              <w:spacing w:after="10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1885865349" w:edGrp="everyone" w:colFirst="1" w:colLast="1"/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3.1 Assessment of cross-border effects and the likely impact on the </w:t>
            </w:r>
            <w:r w:rsidR="00DC7E3F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I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nternal </w:t>
            </w:r>
            <w:r w:rsidR="00DC7E3F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M</w:t>
            </w: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arket</w:t>
            </w:r>
          </w:p>
          <w:p w14:paraId="230A4233" w14:textId="77777777" w:rsidR="00761CC9" w:rsidRPr="001E7B83" w:rsidRDefault="00761CC9" w:rsidP="00761CC9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(Recommendation ESRB/2015/</w:t>
            </w:r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2)</w:t>
            </w:r>
          </w:p>
          <w:p w14:paraId="5B9A523A" w14:textId="77777777" w:rsidR="00761CC9" w:rsidRPr="00ED6193" w:rsidRDefault="00761CC9" w:rsidP="00761CC9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</w:p>
        </w:tc>
        <w:tc>
          <w:tcPr>
            <w:tcW w:w="6114" w:type="dxa"/>
            <w:shd w:val="clear" w:color="auto" w:fill="auto"/>
            <w:vAlign w:val="center"/>
          </w:tcPr>
          <w:p w14:paraId="316B5248" w14:textId="055EE769" w:rsidR="00761CC9" w:rsidRPr="00761CC9" w:rsidRDefault="00761CC9" w:rsidP="00761CC9">
            <w:p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1CC9">
              <w:rPr>
                <w:rFonts w:ascii="Arial" w:hAnsi="Arial" w:cs="Arial"/>
                <w:sz w:val="20"/>
                <w:szCs w:val="20"/>
              </w:rPr>
              <w:t>Assessment of the cross-border effects of implementation of the measure.</w:t>
            </w:r>
          </w:p>
          <w:p w14:paraId="7D406B85" w14:textId="2C9C7AE2" w:rsidR="00761CC9" w:rsidRPr="00761CC9" w:rsidRDefault="00761CC9" w:rsidP="00761CC9">
            <w:pPr>
              <w:numPr>
                <w:ilvl w:val="0"/>
                <w:numId w:val="9"/>
              </w:numPr>
              <w:spacing w:after="100" w:line="300" w:lineRule="atLeas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761CC9">
              <w:rPr>
                <w:rFonts w:ascii="Arial" w:hAnsi="Arial" w:cs="Arial"/>
                <w:sz w:val="20"/>
                <w:szCs w:val="20"/>
              </w:rPr>
              <w:t xml:space="preserve">Assessment of the </w:t>
            </w:r>
            <w:proofErr w:type="spellStart"/>
            <w:r w:rsidRPr="00761CC9">
              <w:rPr>
                <w:rFonts w:ascii="Arial" w:hAnsi="Arial" w:cs="Arial"/>
                <w:sz w:val="20"/>
                <w:szCs w:val="20"/>
              </w:rPr>
              <w:t>spillover</w:t>
            </w:r>
            <w:proofErr w:type="spellEnd"/>
            <w:r w:rsidRPr="00761CC9">
              <w:rPr>
                <w:rFonts w:ascii="Arial" w:hAnsi="Arial" w:cs="Arial"/>
                <w:sz w:val="20"/>
                <w:szCs w:val="20"/>
              </w:rPr>
              <w:t xml:space="preserve"> channels operating via risk adjustment and regulatory arbitrage. The relevant indicators provided in Chapter 11 of the ESRB Handbook on Operationalising Macroprudential Policy in the Banking Sector</w:t>
            </w:r>
            <w:r w:rsidRPr="00761CC9">
              <w:rPr>
                <w:rStyle w:val="FootnoteReference"/>
                <w:rFonts w:ascii="Arial" w:hAnsi="Arial" w:cs="Arial"/>
                <w:sz w:val="20"/>
                <w:szCs w:val="20"/>
                <w:shd w:val="clear" w:color="auto" w:fill="FFFFFF"/>
              </w:rPr>
              <w:footnoteReference w:id="3"/>
            </w:r>
            <w:r w:rsidRPr="00761CC9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and the </w:t>
            </w:r>
            <w:hyperlink r:id="rId11" w:history="1">
              <w:r w:rsidRPr="00761CC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DE" w:bidi="pa-IN"/>
                </w:rPr>
                <w:t xml:space="preserve">Framework to assess cross-border </w:t>
              </w:r>
              <w:proofErr w:type="spellStart"/>
              <w:r w:rsidRPr="00761CC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DE" w:bidi="pa-IN"/>
                </w:rPr>
                <w:t>spillover</w:t>
              </w:r>
              <w:proofErr w:type="spellEnd"/>
              <w:r w:rsidRPr="00761CC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DE" w:bidi="pa-IN"/>
                </w:rPr>
                <w:t xml:space="preserve"> effects of macroprudential policies</w:t>
              </w:r>
            </w:hyperlink>
            <w:r w:rsidRPr="00761CC9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of the ECB </w:t>
            </w:r>
            <w:r w:rsidRPr="00761CC9">
              <w:rPr>
                <w:rFonts w:ascii="Arial" w:hAnsi="Arial" w:cs="Arial"/>
                <w:sz w:val="20"/>
                <w:szCs w:val="20"/>
              </w:rPr>
              <w:t xml:space="preserve">Task Force on cross-border </w:t>
            </w:r>
            <w:proofErr w:type="spellStart"/>
            <w:r w:rsidR="00D419A0">
              <w:rPr>
                <w:rFonts w:ascii="Arial" w:hAnsi="Arial" w:cs="Arial"/>
                <w:sz w:val="20"/>
                <w:szCs w:val="20"/>
              </w:rPr>
              <w:t>s</w:t>
            </w:r>
            <w:r w:rsidRPr="00761CC9">
              <w:rPr>
                <w:rFonts w:ascii="Arial" w:hAnsi="Arial" w:cs="Arial"/>
                <w:sz w:val="20"/>
                <w:szCs w:val="20"/>
              </w:rPr>
              <w:t>pillover</w:t>
            </w:r>
            <w:proofErr w:type="spellEnd"/>
            <w:r w:rsidRPr="00761C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9A0">
              <w:rPr>
                <w:rFonts w:ascii="Arial" w:hAnsi="Arial" w:cs="Arial"/>
                <w:sz w:val="20"/>
                <w:szCs w:val="20"/>
              </w:rPr>
              <w:t>e</w:t>
            </w:r>
            <w:r w:rsidRPr="00761CC9">
              <w:rPr>
                <w:rFonts w:ascii="Arial" w:hAnsi="Arial" w:cs="Arial"/>
                <w:sz w:val="20"/>
                <w:szCs w:val="20"/>
              </w:rPr>
              <w:t>ffects of macroprudential measures</w:t>
            </w:r>
            <w:r w:rsidRPr="00761CC9">
              <w:rPr>
                <w:sz w:val="20"/>
                <w:szCs w:val="20"/>
              </w:rPr>
              <w:t xml:space="preserve"> </w:t>
            </w:r>
            <w:r w:rsidRPr="00761CC9">
              <w:rPr>
                <w:rFonts w:ascii="Arial" w:hAnsi="Arial" w:cs="Arial"/>
                <w:sz w:val="20"/>
                <w:szCs w:val="20"/>
              </w:rPr>
              <w:t>can be used.</w:t>
            </w:r>
          </w:p>
          <w:p w14:paraId="2B69C594" w14:textId="3DCC1315" w:rsidR="00761CC9" w:rsidRPr="00761CC9" w:rsidRDefault="00761CC9" w:rsidP="00761CC9">
            <w:pPr>
              <w:numPr>
                <w:ilvl w:val="0"/>
                <w:numId w:val="9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1CC9">
              <w:rPr>
                <w:rFonts w:ascii="Arial" w:hAnsi="Arial" w:cs="Arial"/>
                <w:sz w:val="20"/>
                <w:szCs w:val="20"/>
              </w:rPr>
              <w:t>Assessment of</w:t>
            </w:r>
            <w:r w:rsidR="00D419A0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761CC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CD86C6" w14:textId="0A22EC0C" w:rsidR="00761CC9" w:rsidRPr="00761CC9" w:rsidRDefault="00761CC9" w:rsidP="00761CC9">
            <w:pPr>
              <w:numPr>
                <w:ilvl w:val="1"/>
                <w:numId w:val="9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1CC9">
              <w:rPr>
                <w:rFonts w:ascii="Arial" w:hAnsi="Arial" w:cs="Arial"/>
                <w:sz w:val="20"/>
                <w:szCs w:val="20"/>
              </w:rPr>
              <w:lastRenderedPageBreak/>
              <w:t xml:space="preserve">cross-border effects of implementation of the measure in your own jurisdiction (inward </w:t>
            </w:r>
            <w:proofErr w:type="spellStart"/>
            <w:r w:rsidRPr="00761CC9">
              <w:rPr>
                <w:rFonts w:ascii="Arial" w:hAnsi="Arial" w:cs="Arial"/>
                <w:sz w:val="20"/>
                <w:szCs w:val="20"/>
              </w:rPr>
              <w:t>spillovers</w:t>
            </w:r>
            <w:proofErr w:type="spellEnd"/>
            <w:proofErr w:type="gramStart"/>
            <w:r w:rsidRPr="00761CC9"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  <w:r w:rsidRPr="00761C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B822C2" w14:textId="77777777" w:rsidR="00761CC9" w:rsidRPr="00761CC9" w:rsidRDefault="00761CC9" w:rsidP="00761CC9">
            <w:pPr>
              <w:numPr>
                <w:ilvl w:val="1"/>
                <w:numId w:val="9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1CC9">
              <w:rPr>
                <w:rFonts w:ascii="Arial" w:hAnsi="Arial" w:cs="Arial"/>
                <w:sz w:val="20"/>
                <w:szCs w:val="20"/>
              </w:rPr>
              <w:t xml:space="preserve">cross-border effects on other Member States and on the Single Market of the measure (outward </w:t>
            </w:r>
            <w:proofErr w:type="spellStart"/>
            <w:r w:rsidRPr="00761CC9">
              <w:rPr>
                <w:rFonts w:ascii="Arial" w:hAnsi="Arial" w:cs="Arial"/>
                <w:sz w:val="20"/>
                <w:szCs w:val="20"/>
              </w:rPr>
              <w:t>spillovers</w:t>
            </w:r>
            <w:proofErr w:type="spellEnd"/>
            <w:proofErr w:type="gramStart"/>
            <w:r w:rsidRPr="00761CC9"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  <w:r w:rsidRPr="00761C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5364A6" w14:textId="78C647D2" w:rsidR="00761CC9" w:rsidRPr="00761CC9" w:rsidDel="00416D9F" w:rsidRDefault="00761CC9" w:rsidP="00761CC9">
            <w:pPr>
              <w:numPr>
                <w:ilvl w:val="1"/>
                <w:numId w:val="9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1CC9">
              <w:rPr>
                <w:rFonts w:ascii="Arial" w:hAnsi="Arial" w:cs="Arial"/>
                <w:sz w:val="20"/>
                <w:szCs w:val="20"/>
              </w:rPr>
              <w:t xml:space="preserve">overall impact on the </w:t>
            </w:r>
            <w:r w:rsidR="005B220C">
              <w:rPr>
                <w:rFonts w:ascii="Arial" w:hAnsi="Arial" w:cs="Arial"/>
                <w:sz w:val="20"/>
                <w:szCs w:val="20"/>
              </w:rPr>
              <w:t>S</w:t>
            </w:r>
            <w:r w:rsidRPr="00761CC9">
              <w:rPr>
                <w:rFonts w:ascii="Arial" w:hAnsi="Arial" w:cs="Arial"/>
                <w:sz w:val="20"/>
                <w:szCs w:val="20"/>
              </w:rPr>
              <w:t xml:space="preserve">ingle </w:t>
            </w:r>
            <w:r w:rsidR="005B220C">
              <w:rPr>
                <w:rFonts w:ascii="Arial" w:hAnsi="Arial" w:cs="Arial"/>
                <w:sz w:val="20"/>
                <w:szCs w:val="20"/>
              </w:rPr>
              <w:t>M</w:t>
            </w:r>
            <w:r w:rsidRPr="00761CC9">
              <w:rPr>
                <w:rFonts w:ascii="Arial" w:hAnsi="Arial" w:cs="Arial"/>
                <w:sz w:val="20"/>
                <w:szCs w:val="20"/>
              </w:rPr>
              <w:t>arket of implementation of the measure.</w:t>
            </w:r>
          </w:p>
        </w:tc>
      </w:tr>
      <w:tr w:rsidR="00761CC9" w:rsidRPr="003520D9" w:rsidDel="00416D9F" w14:paraId="37D3ACCB" w14:textId="77777777" w:rsidTr="00F5085D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07991D22" w14:textId="77777777" w:rsidR="00761CC9" w:rsidRPr="00ED6193" w:rsidRDefault="00761CC9" w:rsidP="00761CC9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222628444" w:edGrp="everyone" w:colFirst="1" w:colLast="1"/>
            <w:permEnd w:id="1885865349"/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lastRenderedPageBreak/>
              <w:t>3.2 Assessment of leakages and regulatory arbitrage within the notifying Member State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258393CD" w14:textId="4AFD7EF1" w:rsidR="00761CC9" w:rsidRDefault="00761CC9" w:rsidP="00761CC9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Referring to your </w:t>
            </w:r>
            <w:r w:rsidR="005B220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Member State</w:t>
            </w:r>
            <w:r w:rsidRPr="00ED6193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's specific characteristics, what is the scope for "leakages and regulatory arbitrage" in your own jurisdiction (i.e. circumvention of the measure/leakages to other parts of the financial sector)?</w:t>
            </w:r>
          </w:p>
          <w:p w14:paraId="17FF4A57" w14:textId="5392D5FF" w:rsidR="00761CC9" w:rsidRPr="00ED6193" w:rsidRDefault="00761CC9" w:rsidP="00761CC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29F8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Is there scope for "leakages and regulatory arbitrage" in other jurisdictions?</w:t>
            </w:r>
          </w:p>
        </w:tc>
      </w:tr>
      <w:permEnd w:id="222628444"/>
      <w:tr w:rsidR="00761CC9" w:rsidRPr="003520D9" w14:paraId="556FA75A" w14:textId="77777777" w:rsidTr="00EB098B">
        <w:trPr>
          <w:trHeight w:val="698"/>
        </w:trPr>
        <w:tc>
          <w:tcPr>
            <w:tcW w:w="9700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E98C2A2" w14:textId="4252B48E" w:rsidR="00761CC9" w:rsidRPr="00ED6193" w:rsidRDefault="00761CC9" w:rsidP="00761CC9">
            <w:pPr>
              <w:numPr>
                <w:ilvl w:val="0"/>
                <w:numId w:val="4"/>
              </w:numPr>
              <w:spacing w:before="120" w:after="120"/>
              <w:contextualSpacing/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</w:pPr>
            <w:r w:rsidRPr="00ED6193"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 xml:space="preserve">For </w:t>
            </w:r>
            <w:r w:rsidR="00DC1B2A" w:rsidRPr="00EB098B"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>Single Supervisory Mechanism</w:t>
            </w:r>
            <w:r w:rsidR="00DC1B2A" w:rsidRPr="00ED6193"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 xml:space="preserve"> </w:t>
            </w:r>
            <w:r w:rsidR="00DC1B2A"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>(</w:t>
            </w:r>
            <w:r w:rsidRPr="00ED6193"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>SSM</w:t>
            </w:r>
            <w:r w:rsidR="00DC1B2A"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>)</w:t>
            </w:r>
            <w:r w:rsidRPr="00ED6193"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 xml:space="preserve"> countries – additional information when notifying the ECB under Article 5</w:t>
            </w:r>
            <w:r w:rsidR="00DC1B2A"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 xml:space="preserve"> of the </w:t>
            </w:r>
            <w:r w:rsidR="00DC1B2A" w:rsidRPr="00ED6193">
              <w:rPr>
                <w:rFonts w:ascii="Arial" w:hAnsi="Arial" w:cs="Arial"/>
                <w:b/>
                <w:sz w:val="20"/>
                <w:szCs w:val="20"/>
                <w:lang w:eastAsia="de-DE" w:bidi="pa-IN"/>
              </w:rPr>
              <w:t>SSM Regulation</w:t>
            </w:r>
            <w:r w:rsidR="00DC1B2A">
              <w:rPr>
                <w:rStyle w:val="FootnoteReference"/>
                <w:rFonts w:ascii="Arial" w:eastAsia="Times New Roman" w:hAnsi="Arial"/>
                <w:sz w:val="20"/>
                <w:szCs w:val="20"/>
                <w:lang w:eastAsia="en-GB"/>
              </w:rPr>
              <w:footnoteReference w:id="4"/>
            </w:r>
          </w:p>
        </w:tc>
      </w:tr>
      <w:tr w:rsidR="00761CC9" w:rsidRPr="003520D9" w14:paraId="2B797B54" w14:textId="77777777" w:rsidTr="000805F9">
        <w:trPr>
          <w:trHeight w:val="567"/>
        </w:trPr>
        <w:tc>
          <w:tcPr>
            <w:tcW w:w="35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74141E" w14:textId="2C2C36F9" w:rsidR="00761CC9" w:rsidRPr="00ED6193" w:rsidRDefault="00761CC9" w:rsidP="00761CC9">
            <w:pPr>
              <w:spacing w:before="120" w:after="12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1859139910" w:edGrp="everyone" w:colFirst="1" w:colLast="1"/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4.1 Timing </w:t>
            </w:r>
            <w:r w:rsidR="00DC1B2A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for</w:t>
            </w:r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the decision</w:t>
            </w:r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99BD0F" w14:textId="11A67E9E" w:rsidR="00761CC9" w:rsidRPr="00287226" w:rsidRDefault="00811567" w:rsidP="00761CC9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098B">
              <w:rPr>
                <w:rFonts w:ascii="Arial" w:hAnsi="Arial" w:cs="Arial"/>
                <w:sz w:val="20"/>
                <w:szCs w:val="20"/>
              </w:rPr>
              <w:t>What is the date on which the decision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CC9" w:rsidRPr="00287226">
              <w:rPr>
                <w:rFonts w:ascii="Arial" w:hAnsi="Arial" w:cs="Arial"/>
                <w:sz w:val="20"/>
                <w:szCs w:val="20"/>
              </w:rPr>
              <w:t xml:space="preserve">referred to in Article 5 SSMR </w:t>
            </w:r>
            <w:r w:rsidR="00FE509D" w:rsidRPr="00287226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761CC9" w:rsidRPr="00287226">
              <w:rPr>
                <w:rFonts w:ascii="Arial" w:hAnsi="Arial" w:cs="Arial"/>
                <w:sz w:val="20"/>
                <w:szCs w:val="20"/>
              </w:rPr>
              <w:t>be taken</w:t>
            </w:r>
            <w:r w:rsidR="00C9456F">
              <w:rPr>
                <w:rFonts w:ascii="Arial" w:hAnsi="Arial" w:cs="Arial"/>
                <w:sz w:val="20"/>
                <w:szCs w:val="20"/>
              </w:rPr>
              <w:t>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48023755"/>
              <w:placeholder>
                <w:docPart w:val="2C0E3264E2494F9EA95B62CBBBC8889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B34965E" w14:textId="55FB5E38" w:rsidR="00761CC9" w:rsidRPr="00ED6193" w:rsidRDefault="00761CC9" w:rsidP="00761CC9">
                <w:pPr>
                  <w:spacing w:before="120" w:after="12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943739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761CC9" w:rsidRPr="003520D9" w14:paraId="4A573786" w14:textId="77777777" w:rsidTr="000805F9">
        <w:trPr>
          <w:trHeight w:val="567"/>
        </w:trPr>
        <w:tc>
          <w:tcPr>
            <w:tcW w:w="35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7CFDA2" w14:textId="26D72BE0" w:rsidR="00761CC9" w:rsidRPr="00ED6193" w:rsidRDefault="00761CC9" w:rsidP="00761CC9">
            <w:pPr>
              <w:spacing w:before="120" w:after="12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447967393" w:edGrp="everyone" w:colFirst="1" w:colLast="1"/>
            <w:permEnd w:id="1859139910"/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4.2 Timing </w:t>
            </w:r>
            <w:r w:rsidR="00DC1B2A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for</w:t>
            </w:r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</w:t>
            </w:r>
            <w:r w:rsidR="00DC1B2A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p</w:t>
            </w:r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ublication</w:t>
            </w:r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92EEF3" w14:textId="27BAFE61" w:rsidR="00761CC9" w:rsidRDefault="00761CC9" w:rsidP="00761CC9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6193">
              <w:rPr>
                <w:rFonts w:ascii="Arial" w:hAnsi="Arial" w:cs="Arial"/>
                <w:sz w:val="20"/>
                <w:szCs w:val="20"/>
              </w:rPr>
              <w:t xml:space="preserve">What is the date </w:t>
            </w:r>
            <w:r w:rsidR="00DE2572">
              <w:rPr>
                <w:rFonts w:ascii="Arial" w:hAnsi="Arial" w:cs="Arial"/>
                <w:sz w:val="20"/>
                <w:szCs w:val="20"/>
              </w:rPr>
              <w:t>for</w:t>
            </w:r>
            <w:r w:rsidRPr="00ED6193">
              <w:rPr>
                <w:rFonts w:ascii="Arial" w:hAnsi="Arial" w:cs="Arial"/>
                <w:sz w:val="20"/>
                <w:szCs w:val="20"/>
              </w:rPr>
              <w:t xml:space="preserve"> publication of the notified measure?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76230084"/>
              <w:placeholder>
                <w:docPart w:val="2C0E3264E2494F9EA95B62CBBBC8889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C1B31ED" w14:textId="287521DA" w:rsidR="00761CC9" w:rsidRPr="00ED6193" w:rsidRDefault="00761CC9" w:rsidP="00761CC9">
                <w:pPr>
                  <w:spacing w:before="120" w:after="12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943739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761CC9" w:rsidRPr="003520D9" w14:paraId="135242A1" w14:textId="77777777" w:rsidTr="000805F9">
        <w:trPr>
          <w:trHeight w:val="567"/>
        </w:trPr>
        <w:tc>
          <w:tcPr>
            <w:tcW w:w="35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F9F523" w14:textId="339A5C82" w:rsidR="00761CC9" w:rsidRPr="00ED6193" w:rsidRDefault="00761CC9" w:rsidP="00761CC9">
            <w:pPr>
              <w:spacing w:before="120" w:after="12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887229368" w:edGrp="everyone" w:colFirst="1" w:colLast="1"/>
            <w:permEnd w:id="447967393"/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4.3 Indicators used for setting the </w:t>
            </w:r>
            <w:proofErr w:type="spellStart"/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CC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y</w:t>
            </w:r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B</w:t>
            </w:r>
            <w:proofErr w:type="spellEnd"/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A6ED32" w14:textId="2670C7FA" w:rsidR="00DC1B2A" w:rsidRPr="00EB098B" w:rsidRDefault="00761CC9" w:rsidP="00761CC9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Provide the indicators </w:t>
            </w:r>
            <w:r w:rsidR="00DC1B2A"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triggering activation of</w:t>
            </w:r>
            <w:r w:rsidR="00DC1B2A" w:rsidRPr="00EB098B" w:rsidDel="00DC1B2A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="00DC1B2A"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or modification of </w:t>
            </w: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the </w:t>
            </w:r>
            <w:proofErr w:type="spellStart"/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CC</w:t>
            </w:r>
            <w:r w:rsidR="00996E80"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y</w:t>
            </w: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B</w:t>
            </w:r>
            <w:proofErr w:type="spellEnd"/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rate, including the credit-to-GDP gap, buffer guide </w:t>
            </w:r>
            <w:r w:rsidR="00DC1B2A"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calculated </w:t>
            </w: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and additional indicators. </w:t>
            </w:r>
          </w:p>
          <w:p w14:paraId="263DF0F2" w14:textId="592A1499" w:rsidR="00761CC9" w:rsidRPr="00EB098B" w:rsidRDefault="00761CC9" w:rsidP="00761CC9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Please also provide time series </w:t>
            </w:r>
            <w:r w:rsidR="00DC1B2A"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for</w:t>
            </w: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the data on which the decision is based (preferably </w:t>
            </w:r>
            <w:r w:rsidR="00DC1B2A"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in </w:t>
            </w: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an Excel</w:t>
            </w:r>
            <w:r w:rsidR="00DC1B2A"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file).</w:t>
            </w:r>
          </w:p>
          <w:p w14:paraId="3151345B" w14:textId="5449FEAD" w:rsidR="00761CC9" w:rsidRPr="00EB098B" w:rsidRDefault="00761CC9" w:rsidP="00EB0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The Macroprudential Database (MPDB) in </w:t>
            </w:r>
            <w:r w:rsidR="00DC1B2A"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the Statistical Data</w:t>
            </w:r>
            <w:r w:rsidR="00F50FE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="00287226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Warehouse </w:t>
            </w:r>
            <w:r w:rsidR="00DC1B2A"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(</w:t>
            </w: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SDW</w:t>
            </w:r>
            <w:r w:rsidR="00DC1B2A"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)</w:t>
            </w: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="00DC1B2A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is aimed </w:t>
            </w: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at providing a common basis for macroprudential analysis in the SSM area. </w:t>
            </w:r>
            <w:r w:rsidR="00DC1B2A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If </w:t>
            </w: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different series are used for the decision, please also provide an explanation of the </w:t>
            </w:r>
            <w:proofErr w:type="gramStart"/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differences</w:t>
            </w:r>
            <w:proofErr w:type="gramEnd"/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and give </w:t>
            </w:r>
            <w:r w:rsidR="00DC1B2A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the</w:t>
            </w:r>
            <w:r w:rsidRPr="00EB098B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reason why the series is used.</w:t>
            </w:r>
          </w:p>
        </w:tc>
      </w:tr>
      <w:permEnd w:id="887229368"/>
      <w:tr w:rsidR="00761CC9" w:rsidRPr="003520D9" w14:paraId="158753A3" w14:textId="77777777" w:rsidTr="00BB0990">
        <w:trPr>
          <w:trHeight w:val="567"/>
        </w:trPr>
        <w:tc>
          <w:tcPr>
            <w:tcW w:w="9700" w:type="dxa"/>
            <w:gridSpan w:val="2"/>
            <w:shd w:val="clear" w:color="auto" w:fill="A6A6A6"/>
            <w:vAlign w:val="center"/>
          </w:tcPr>
          <w:p w14:paraId="55D2DD79" w14:textId="77777777" w:rsidR="00761CC9" w:rsidRPr="00AE2A55" w:rsidRDefault="00761CC9" w:rsidP="00761CC9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2A55">
              <w:rPr>
                <w:rFonts w:ascii="Arial" w:hAnsi="Arial" w:cs="Arial"/>
                <w:b/>
                <w:sz w:val="20"/>
                <w:szCs w:val="20"/>
              </w:rPr>
              <w:t xml:space="preserve">Miscellaneous </w:t>
            </w:r>
          </w:p>
        </w:tc>
      </w:tr>
      <w:tr w:rsidR="00761CC9" w:rsidRPr="003520D9" w14:paraId="40BAFBBC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03A03E2E" w14:textId="7A94A7D2" w:rsidR="00761CC9" w:rsidRPr="00ED6193" w:rsidRDefault="00761CC9" w:rsidP="00761CC9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permStart w:id="423259593" w:edGrp="everyone" w:colFirst="1" w:colLast="1"/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5.1 Contact person(s)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/mailbox</w:t>
            </w:r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at notifying authority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357E1366" w14:textId="4CE14560" w:rsidR="00761CC9" w:rsidRPr="00ED6193" w:rsidRDefault="002505FC" w:rsidP="002505F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2505FC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Contact person(s) (name, phone number and e-mail address) and mailbox for further inquiries.</w:t>
            </w:r>
          </w:p>
        </w:tc>
      </w:tr>
      <w:tr w:rsidR="00761CC9" w:rsidRPr="003520D9" w14:paraId="2DF71EC0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6058204E" w14:textId="35BC08A4" w:rsidR="00761CC9" w:rsidRPr="00ED6193" w:rsidRDefault="00761CC9" w:rsidP="00761CC9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2040071257" w:edGrp="everyone" w:colFirst="1" w:colLast="1"/>
            <w:permEnd w:id="423259593"/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5.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2</w:t>
            </w:r>
            <w:r w:rsidRPr="001E7B83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 xml:space="preserve"> Any other relevant </w:t>
            </w:r>
            <w:r w:rsidR="00DC1B2A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information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2FDC3557" w14:textId="77777777" w:rsidR="00761CC9" w:rsidRPr="00ED6193" w:rsidRDefault="00761CC9" w:rsidP="00761CC9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</w:p>
        </w:tc>
      </w:tr>
      <w:tr w:rsidR="00761CC9" w:rsidRPr="003520D9" w14:paraId="3951462D" w14:textId="77777777" w:rsidTr="00CE11D8">
        <w:trPr>
          <w:trHeight w:val="567"/>
        </w:trPr>
        <w:tc>
          <w:tcPr>
            <w:tcW w:w="3586" w:type="dxa"/>
            <w:shd w:val="clear" w:color="auto" w:fill="auto"/>
            <w:vAlign w:val="center"/>
          </w:tcPr>
          <w:p w14:paraId="14DFCE89" w14:textId="09819B33" w:rsidR="00761CC9" w:rsidRPr="001E7B83" w:rsidRDefault="00761CC9" w:rsidP="00761CC9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</w:pPr>
            <w:permStart w:id="798632653" w:edGrp="everyone" w:colFirst="1" w:colLast="1"/>
            <w:permEnd w:id="2040071257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5</w:t>
            </w:r>
            <w:r w:rsidRPr="00F847CA">
              <w:rPr>
                <w:rFonts w:ascii="Arial" w:eastAsia="Times New Roman" w:hAnsi="Arial" w:cs="Arial"/>
                <w:b/>
                <w:sz w:val="20"/>
                <w:szCs w:val="20"/>
                <w:lang w:eastAsia="de-DE" w:bidi="pa-IN"/>
              </w:rPr>
              <w:t>.3 Date of the notification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5214F474" w14:textId="09A45499" w:rsidR="00761CC9" w:rsidRPr="00F847CA" w:rsidRDefault="00761CC9" w:rsidP="00761CC9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F847CA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Please provide the date </w:t>
            </w:r>
            <w:r w:rsidR="00DC1B2A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on which </w:t>
            </w:r>
            <w:r w:rsidRPr="00F847CA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this notification was sent.</w:t>
            </w:r>
          </w:p>
          <w:p w14:paraId="69032938" w14:textId="08F2F87C" w:rsidR="00761CC9" w:rsidRPr="00ED6193" w:rsidRDefault="00A26248" w:rsidP="00761CC9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 w:bidi="pa-IN"/>
                </w:rPr>
                <w:id w:val="1656486387"/>
                <w:placeholder>
                  <w:docPart w:val="7CB58034EA3C499E84CD60A7A482269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1CC9" w:rsidRPr="008B507C">
                  <w:rPr>
                    <w:rStyle w:val="PlaceholderText"/>
                    <w:rFonts w:ascii="Arial" w:eastAsia="Times New Roman" w:hAnsi="Arial" w:cs="Arial"/>
                    <w:color w:val="auto"/>
                    <w:sz w:val="20"/>
                    <w:szCs w:val="20"/>
                    <w:lang w:eastAsia="de-DE" w:bidi="pa-IN"/>
                  </w:rPr>
                  <w:t>Click or tap to enter a date.</w:t>
                </w:r>
              </w:sdtContent>
            </w:sdt>
          </w:p>
        </w:tc>
      </w:tr>
      <w:permEnd w:id="798632653"/>
    </w:tbl>
    <w:p w14:paraId="7C6384E9" w14:textId="77777777" w:rsidR="00F170D2" w:rsidRPr="001E7B83" w:rsidRDefault="00A26248" w:rsidP="006720A0">
      <w:pPr>
        <w:rPr>
          <w:rFonts w:ascii="Arial" w:hAnsi="Arial" w:cs="Arial"/>
          <w:sz w:val="20"/>
          <w:szCs w:val="20"/>
        </w:rPr>
      </w:pPr>
    </w:p>
    <w:sectPr w:rsidR="00F170D2" w:rsidRPr="001E7B83" w:rsidSect="005F77AC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C7CFF" w14:textId="77777777" w:rsidR="00A26248" w:rsidRDefault="00A26248">
      <w:pPr>
        <w:spacing w:after="0" w:line="240" w:lineRule="auto"/>
      </w:pPr>
      <w:r>
        <w:separator/>
      </w:r>
    </w:p>
  </w:endnote>
  <w:endnote w:type="continuationSeparator" w:id="0">
    <w:p w14:paraId="3F492906" w14:textId="77777777" w:rsidR="00A26248" w:rsidRDefault="00A2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AB40E" w14:textId="59389EE1" w:rsidR="005F77AC" w:rsidRDefault="00D8117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2DF">
      <w:rPr>
        <w:noProof/>
      </w:rPr>
      <w:t>2</w:t>
    </w:r>
    <w:r>
      <w:rPr>
        <w:noProof/>
      </w:rPr>
      <w:fldChar w:fldCharType="end"/>
    </w:r>
  </w:p>
  <w:p w14:paraId="7D62A111" w14:textId="7962AA9F" w:rsidR="005A45D7" w:rsidRDefault="005A4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5CBD4" w14:textId="5D1BA58B" w:rsidR="005F77AC" w:rsidRDefault="00D8117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2DF">
      <w:rPr>
        <w:noProof/>
      </w:rPr>
      <w:t>1</w:t>
    </w:r>
    <w:r>
      <w:rPr>
        <w:noProof/>
      </w:rPr>
      <w:fldChar w:fldCharType="end"/>
    </w:r>
  </w:p>
  <w:p w14:paraId="0E398771" w14:textId="7A2CC093" w:rsidR="005F77AC" w:rsidRPr="00F61E7D" w:rsidRDefault="00D81178">
    <w:pPr>
      <w:pStyle w:val="Footer"/>
      <w:rPr>
        <w:rFonts w:ascii="Arial" w:hAnsi="Arial" w:cs="Arial"/>
        <w:b/>
        <w:sz w:val="20"/>
      </w:rPr>
    </w:pPr>
    <w:r w:rsidRPr="00F61E7D">
      <w:rPr>
        <w:rFonts w:ascii="Arial" w:hAnsi="Arial" w:cs="Arial"/>
        <w:b/>
        <w:sz w:val="20"/>
      </w:rPr>
      <w:t xml:space="preserve">Date of template version: </w:t>
    </w:r>
    <w:r w:rsidR="00943739">
      <w:rPr>
        <w:rFonts w:ascii="Arial" w:hAnsi="Arial" w:cs="Arial"/>
        <w:b/>
        <w:sz w:val="20"/>
      </w:rPr>
      <w:t>06</w:t>
    </w:r>
    <w:r w:rsidR="005C46BE">
      <w:rPr>
        <w:rFonts w:ascii="Arial" w:hAnsi="Arial" w:cs="Arial"/>
        <w:b/>
        <w:sz w:val="20"/>
      </w:rPr>
      <w:t>-0</w:t>
    </w:r>
    <w:r w:rsidR="00943739">
      <w:rPr>
        <w:rFonts w:ascii="Arial" w:hAnsi="Arial" w:cs="Arial"/>
        <w:b/>
        <w:sz w:val="20"/>
      </w:rPr>
      <w:t>8</w:t>
    </w:r>
    <w:r w:rsidR="005C46BE">
      <w:rPr>
        <w:rFonts w:ascii="Arial" w:hAnsi="Arial" w:cs="Arial"/>
        <w:b/>
        <w:sz w:val="20"/>
      </w:rPr>
      <w:t>-</w:t>
    </w:r>
    <w:r w:rsidRPr="00F61E7D">
      <w:rPr>
        <w:rFonts w:ascii="Arial" w:hAnsi="Arial" w:cs="Arial"/>
        <w:b/>
        <w:sz w:val="20"/>
      </w:rPr>
      <w:t>20</w:t>
    </w:r>
    <w:r w:rsidR="009E6EC9">
      <w:rPr>
        <w:rFonts w:ascii="Arial" w:hAnsi="Arial" w:cs="Arial"/>
        <w:b/>
        <w:sz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A0EE8" w14:textId="77777777" w:rsidR="00A26248" w:rsidRDefault="00A26248">
      <w:pPr>
        <w:spacing w:after="0" w:line="240" w:lineRule="auto"/>
      </w:pPr>
      <w:r>
        <w:separator/>
      </w:r>
    </w:p>
  </w:footnote>
  <w:footnote w:type="continuationSeparator" w:id="0">
    <w:p w14:paraId="15B580B3" w14:textId="77777777" w:rsidR="00A26248" w:rsidRDefault="00A26248">
      <w:pPr>
        <w:spacing w:after="0" w:line="240" w:lineRule="auto"/>
      </w:pPr>
      <w:r>
        <w:continuationSeparator/>
      </w:r>
    </w:p>
  </w:footnote>
  <w:footnote w:id="1">
    <w:p w14:paraId="795AA15A" w14:textId="32C69B97" w:rsidR="00C70B97" w:rsidRPr="00C70B97" w:rsidRDefault="00C70B97">
      <w:pPr>
        <w:pStyle w:val="FootnoteText"/>
        <w:rPr>
          <w:rFonts w:ascii="Arial" w:eastAsiaTheme="minorHAnsi" w:hAnsi="Arial" w:cs="Arial"/>
          <w:sz w:val="17"/>
          <w:szCs w:val="17"/>
        </w:rPr>
      </w:pPr>
      <w:r w:rsidRPr="00774EB0">
        <w:rPr>
          <w:rStyle w:val="FootnoteReference"/>
          <w:rFonts w:ascii="Arial" w:hAnsi="Arial" w:cs="Arial"/>
          <w:sz w:val="17"/>
          <w:szCs w:val="17"/>
        </w:rPr>
        <w:footnoteRef/>
      </w:r>
      <w:r w:rsidRPr="00774EB0">
        <w:rPr>
          <w:rFonts w:ascii="Arial" w:hAnsi="Arial" w:cs="Arial"/>
          <w:sz w:val="17"/>
          <w:szCs w:val="17"/>
        </w:rPr>
        <w:t xml:space="preserve"> </w:t>
      </w:r>
      <w:r w:rsidRPr="00C70B97">
        <w:rPr>
          <w:rFonts w:ascii="Arial" w:eastAsiaTheme="minorHAnsi" w:hAnsi="Arial" w:cs="Arial"/>
          <w:sz w:val="17"/>
          <w:szCs w:val="17"/>
        </w:rPr>
        <w:t xml:space="preserve">Recommendation of the European Systemic Risk Board of 18 June 2014 on guidance for setting countercyclical buffer rates (ESRB/2014/1) </w:t>
      </w:r>
      <w:r w:rsidRPr="00287226">
        <w:rPr>
          <w:rFonts w:ascii="Arial" w:eastAsiaTheme="minorHAnsi" w:hAnsi="Arial" w:cs="Arial"/>
          <w:sz w:val="17"/>
          <w:szCs w:val="17"/>
        </w:rPr>
        <w:t>(</w:t>
      </w:r>
      <w:r w:rsidRPr="008634D8">
        <w:rPr>
          <w:rFonts w:ascii="Arial" w:eastAsiaTheme="minorHAnsi" w:hAnsi="Arial" w:cs="Arial"/>
          <w:sz w:val="17"/>
          <w:szCs w:val="17"/>
        </w:rPr>
        <w:t>OJ C 293, 2.9.2014, p. 1).</w:t>
      </w:r>
    </w:p>
  </w:footnote>
  <w:footnote w:id="2">
    <w:p w14:paraId="04EB9313" w14:textId="77777777" w:rsidR="001B41F4" w:rsidRPr="00625100" w:rsidRDefault="001B41F4" w:rsidP="008634D8">
      <w:pPr>
        <w:pStyle w:val="FootnoteText"/>
        <w:spacing w:after="0"/>
      </w:pPr>
      <w:r w:rsidRPr="00774EB0">
        <w:rPr>
          <w:rStyle w:val="FootnoteReference"/>
          <w:rFonts w:ascii="Arial" w:hAnsi="Arial" w:cs="Arial"/>
          <w:sz w:val="17"/>
          <w:szCs w:val="17"/>
        </w:rPr>
        <w:footnoteRef/>
      </w:r>
      <w:r w:rsidRPr="00774EB0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Pr="008634D8">
        <w:rPr>
          <w:rFonts w:ascii="Arial" w:hAnsi="Arial" w:cs="Arial"/>
          <w:sz w:val="17"/>
          <w:szCs w:val="17"/>
        </w:rPr>
        <w:t>Recommendation of the European Systemic Risk Board of 15 December 2015 on the assessment of cross-border effects of and voluntary reciprocity for macroprudential policy measures (ESRB/2015/3) (OJ C 97, 12.3.2016, p. 9).</w:t>
      </w:r>
    </w:p>
  </w:footnote>
  <w:footnote w:id="3">
    <w:p w14:paraId="5338BE5E" w14:textId="77777777" w:rsidR="00761CC9" w:rsidRDefault="00761CC9" w:rsidP="005E022F">
      <w:pPr>
        <w:pStyle w:val="FootnoteText"/>
      </w:pPr>
      <w:r w:rsidRPr="00A3630B">
        <w:rPr>
          <w:rStyle w:val="FootnoteReference"/>
          <w:rFonts w:ascii="Arial" w:hAnsi="Arial" w:cs="Arial"/>
          <w:sz w:val="17"/>
          <w:szCs w:val="17"/>
        </w:rPr>
        <w:footnoteRef/>
      </w:r>
      <w:r w:rsidRPr="00774EB0">
        <w:rPr>
          <w:rStyle w:val="FootnoteReference"/>
          <w:rFonts w:cs="Arial"/>
        </w:rPr>
        <w:t xml:space="preserve"> </w:t>
      </w:r>
      <w:r w:rsidRPr="00A3630B">
        <w:rPr>
          <w:rFonts w:ascii="Arial" w:hAnsi="Arial" w:cs="Arial"/>
          <w:sz w:val="17"/>
          <w:szCs w:val="17"/>
        </w:rPr>
        <w:t>Available on the ESRB’s website at www.esrb.europa.eu.</w:t>
      </w:r>
    </w:p>
  </w:footnote>
  <w:footnote w:id="4">
    <w:p w14:paraId="2AF84434" w14:textId="49CCB774" w:rsidR="00DC1B2A" w:rsidRPr="00EB098B" w:rsidRDefault="00DC1B2A" w:rsidP="00DC1B2A">
      <w:pPr>
        <w:pStyle w:val="FootnoteText"/>
        <w:rPr>
          <w:rFonts w:ascii="Arial" w:hAnsi="Arial" w:cs="Arial"/>
          <w:sz w:val="17"/>
          <w:szCs w:val="17"/>
        </w:rPr>
      </w:pPr>
      <w:r w:rsidRPr="00774EB0">
        <w:rPr>
          <w:rStyle w:val="FootnoteReference"/>
          <w:rFonts w:ascii="Arial" w:hAnsi="Arial" w:cs="Arial"/>
          <w:sz w:val="17"/>
          <w:szCs w:val="17"/>
        </w:rPr>
        <w:footnoteRef/>
      </w:r>
      <w:r w:rsidRPr="00774EB0">
        <w:rPr>
          <w:rFonts w:ascii="Arial" w:hAnsi="Arial" w:cs="Arial"/>
          <w:sz w:val="17"/>
          <w:szCs w:val="17"/>
        </w:rPr>
        <w:t xml:space="preserve"> </w:t>
      </w:r>
      <w:r w:rsidRPr="007D0528">
        <w:rPr>
          <w:rFonts w:ascii="Arial" w:hAnsi="Arial" w:cs="Arial"/>
          <w:sz w:val="17"/>
          <w:szCs w:val="17"/>
          <w:shd w:val="clear" w:color="auto" w:fill="FFFFFF"/>
        </w:rPr>
        <w:t xml:space="preserve">Council Regulation (EU) No 1024/2013 of 15 October 2013 conferring specific tasks on the European Central Bank concerning policies relating to the prudential supervision of credit institutions </w:t>
      </w:r>
      <w:r w:rsidRPr="00EB098B">
        <w:rPr>
          <w:rFonts w:ascii="Arial" w:hAnsi="Arial" w:cs="Arial"/>
          <w:i/>
          <w:iCs/>
          <w:sz w:val="17"/>
          <w:szCs w:val="17"/>
          <w:shd w:val="clear" w:color="auto" w:fill="FFFFFF"/>
        </w:rPr>
        <w:t>(</w:t>
      </w:r>
      <w:r w:rsidRPr="00EB098B">
        <w:rPr>
          <w:rStyle w:val="Emphasis"/>
          <w:rFonts w:ascii="Arial" w:hAnsi="Arial" w:cs="Arial"/>
          <w:i w:val="0"/>
          <w:sz w:val="17"/>
          <w:szCs w:val="17"/>
          <w:shd w:val="clear" w:color="auto" w:fill="FFFFFF"/>
        </w:rPr>
        <w:t>OJ L 287, 29.10.2013, p. 63).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2073F" w14:textId="0FD9E010" w:rsidR="005F77AC" w:rsidRPr="00EF7B50" w:rsidRDefault="00EF7B50" w:rsidP="00EF7B50">
    <w:pPr>
      <w:pStyle w:val="Header"/>
      <w:tabs>
        <w:tab w:val="clear" w:pos="4513"/>
      </w:tabs>
    </w:pPr>
    <w:bookmarkStart w:id="2" w:name="_Hlk72489928"/>
    <w:bookmarkStart w:id="3" w:name="_Hlk72489929"/>
    <w:r>
      <w:rPr>
        <w:noProof/>
        <w:lang w:val="de-DE" w:eastAsia="de-DE"/>
      </w:rPr>
      <w:drawing>
        <wp:inline distT="0" distB="0" distL="0" distR="0" wp14:anchorId="47677820" wp14:editId="67782CFA">
          <wp:extent cx="2221818" cy="403225"/>
          <wp:effectExtent l="0" t="0" r="0" b="0"/>
          <wp:docPr id="6" name="Picture 6" descr="ESRB_Logo_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SRB_Logo_EN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652" cy="46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</w:t>
    </w:r>
    <w:r w:rsidRPr="00C559BE">
      <w:rPr>
        <w:noProof/>
        <w:lang w:val="de-DE" w:eastAsia="de-DE"/>
      </w:rPr>
      <w:drawing>
        <wp:inline distT="0" distB="0" distL="0" distR="0" wp14:anchorId="08626C5C" wp14:editId="42E3AA5D">
          <wp:extent cx="1501096" cy="739791"/>
          <wp:effectExtent l="0" t="0" r="0" b="0"/>
          <wp:docPr id="7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96" cy="739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6595"/>
    <w:multiLevelType w:val="multilevel"/>
    <w:tmpl w:val="9900F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027FA8"/>
    <w:multiLevelType w:val="hybridMultilevel"/>
    <w:tmpl w:val="3B0463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72A"/>
    <w:multiLevelType w:val="hybridMultilevel"/>
    <w:tmpl w:val="E1981772"/>
    <w:lvl w:ilvl="0" w:tplc="0D26B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62C8E"/>
    <w:multiLevelType w:val="multilevel"/>
    <w:tmpl w:val="02745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C412FB"/>
    <w:multiLevelType w:val="hybridMultilevel"/>
    <w:tmpl w:val="B8AC29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413DA"/>
    <w:multiLevelType w:val="hybridMultilevel"/>
    <w:tmpl w:val="8E721230"/>
    <w:lvl w:ilvl="0" w:tplc="D3BC52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5919"/>
    <w:multiLevelType w:val="hybridMultilevel"/>
    <w:tmpl w:val="96CCB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D3015"/>
    <w:multiLevelType w:val="hybridMultilevel"/>
    <w:tmpl w:val="B8B69C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70D"/>
    <w:multiLevelType w:val="hybridMultilevel"/>
    <w:tmpl w:val="3B10653E"/>
    <w:lvl w:ilvl="0" w:tplc="DAA22C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A4238"/>
    <w:multiLevelType w:val="hybridMultilevel"/>
    <w:tmpl w:val="E1981772"/>
    <w:lvl w:ilvl="0" w:tplc="0D26B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D24B0"/>
    <w:multiLevelType w:val="hybridMultilevel"/>
    <w:tmpl w:val="4308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80007"/>
    <w:multiLevelType w:val="hybridMultilevel"/>
    <w:tmpl w:val="7C9272A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9D0A28"/>
    <w:multiLevelType w:val="hybridMultilevel"/>
    <w:tmpl w:val="601EBC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E1EF4"/>
    <w:multiLevelType w:val="hybridMultilevel"/>
    <w:tmpl w:val="69683A8E"/>
    <w:lvl w:ilvl="0" w:tplc="3B5A4B1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75C52"/>
    <w:multiLevelType w:val="multilevel"/>
    <w:tmpl w:val="C58899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2817373"/>
    <w:multiLevelType w:val="hybridMultilevel"/>
    <w:tmpl w:val="8578C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20252"/>
    <w:multiLevelType w:val="multilevel"/>
    <w:tmpl w:val="4418A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A3E416D"/>
    <w:multiLevelType w:val="hybridMultilevel"/>
    <w:tmpl w:val="E1981772"/>
    <w:lvl w:ilvl="0" w:tplc="0D26B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F2365"/>
    <w:multiLevelType w:val="multilevel"/>
    <w:tmpl w:val="05FCDD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B871BC"/>
    <w:multiLevelType w:val="hybridMultilevel"/>
    <w:tmpl w:val="3760B2A8"/>
    <w:lvl w:ilvl="0" w:tplc="1A522DB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E103A3"/>
    <w:multiLevelType w:val="hybridMultilevel"/>
    <w:tmpl w:val="50A67826"/>
    <w:lvl w:ilvl="0" w:tplc="3B5A4B10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F12FB5"/>
    <w:multiLevelType w:val="hybridMultilevel"/>
    <w:tmpl w:val="D1F8B5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776"/>
    <w:multiLevelType w:val="hybridMultilevel"/>
    <w:tmpl w:val="45181E5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B5937"/>
    <w:multiLevelType w:val="hybridMultilevel"/>
    <w:tmpl w:val="4E86FBC4"/>
    <w:lvl w:ilvl="0" w:tplc="6960F7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F292C"/>
    <w:multiLevelType w:val="hybridMultilevel"/>
    <w:tmpl w:val="E9CE2D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E494E"/>
    <w:multiLevelType w:val="hybridMultilevel"/>
    <w:tmpl w:val="DAFEBE1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7"/>
  </w:num>
  <w:num w:numId="5">
    <w:abstractNumId w:val="13"/>
  </w:num>
  <w:num w:numId="6">
    <w:abstractNumId w:val="12"/>
  </w:num>
  <w:num w:numId="7">
    <w:abstractNumId w:val="20"/>
  </w:num>
  <w:num w:numId="8">
    <w:abstractNumId w:val="7"/>
  </w:num>
  <w:num w:numId="9">
    <w:abstractNumId w:val="11"/>
  </w:num>
  <w:num w:numId="10">
    <w:abstractNumId w:val="1"/>
  </w:num>
  <w:num w:numId="11">
    <w:abstractNumId w:val="25"/>
  </w:num>
  <w:num w:numId="12">
    <w:abstractNumId w:val="21"/>
  </w:num>
  <w:num w:numId="13">
    <w:abstractNumId w:val="3"/>
  </w:num>
  <w:num w:numId="14">
    <w:abstractNumId w:val="18"/>
  </w:num>
  <w:num w:numId="15">
    <w:abstractNumId w:val="14"/>
  </w:num>
  <w:num w:numId="16">
    <w:abstractNumId w:val="0"/>
  </w:num>
  <w:num w:numId="17">
    <w:abstractNumId w:val="22"/>
  </w:num>
  <w:num w:numId="18">
    <w:abstractNumId w:val="23"/>
  </w:num>
  <w:num w:numId="19">
    <w:abstractNumId w:val="4"/>
  </w:num>
  <w:num w:numId="20">
    <w:abstractNumId w:val="24"/>
  </w:num>
  <w:num w:numId="21">
    <w:abstractNumId w:val="15"/>
  </w:num>
  <w:num w:numId="22">
    <w:abstractNumId w:val="10"/>
  </w:num>
  <w:num w:numId="23">
    <w:abstractNumId w:val="9"/>
  </w:num>
  <w:num w:numId="24">
    <w:abstractNumId w:val="6"/>
  </w:num>
  <w:num w:numId="25">
    <w:abstractNumId w:val="2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wgfKPjv1IR/Pxwuj/Ba5rO0E8ZOgdx+x2eSolTfHP9lbRcuNsckTB8BfQZBO2vmamj+SNcaZB+DUuAHVIh+p6Q==" w:salt="+DfokNuh3nsSGetuxv0EP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D9"/>
    <w:rsid w:val="00010E40"/>
    <w:rsid w:val="0002054B"/>
    <w:rsid w:val="00021611"/>
    <w:rsid w:val="00023E06"/>
    <w:rsid w:val="00042D57"/>
    <w:rsid w:val="0007502C"/>
    <w:rsid w:val="000A25C4"/>
    <w:rsid w:val="000A3A4B"/>
    <w:rsid w:val="000A4409"/>
    <w:rsid w:val="000B3336"/>
    <w:rsid w:val="000C14BC"/>
    <w:rsid w:val="000D30FE"/>
    <w:rsid w:val="000E0CE9"/>
    <w:rsid w:val="000F06CE"/>
    <w:rsid w:val="00116B6A"/>
    <w:rsid w:val="00127B65"/>
    <w:rsid w:val="001407D8"/>
    <w:rsid w:val="001445B0"/>
    <w:rsid w:val="001550C8"/>
    <w:rsid w:val="001634A4"/>
    <w:rsid w:val="00180E40"/>
    <w:rsid w:val="00190391"/>
    <w:rsid w:val="001A7807"/>
    <w:rsid w:val="001A7CC6"/>
    <w:rsid w:val="001B41F4"/>
    <w:rsid w:val="001E4651"/>
    <w:rsid w:val="001F3209"/>
    <w:rsid w:val="002040E6"/>
    <w:rsid w:val="002505FC"/>
    <w:rsid w:val="002725EA"/>
    <w:rsid w:val="00287226"/>
    <w:rsid w:val="002B12C8"/>
    <w:rsid w:val="002B5CD9"/>
    <w:rsid w:val="002B6A91"/>
    <w:rsid w:val="002C7D48"/>
    <w:rsid w:val="002E1E75"/>
    <w:rsid w:val="002F2F00"/>
    <w:rsid w:val="002F31EB"/>
    <w:rsid w:val="0032092B"/>
    <w:rsid w:val="0032207B"/>
    <w:rsid w:val="00332F74"/>
    <w:rsid w:val="00342176"/>
    <w:rsid w:val="00376BAB"/>
    <w:rsid w:val="003B6412"/>
    <w:rsid w:val="003C27D1"/>
    <w:rsid w:val="003F43FF"/>
    <w:rsid w:val="00404F97"/>
    <w:rsid w:val="004D1050"/>
    <w:rsid w:val="004E53E2"/>
    <w:rsid w:val="004F1255"/>
    <w:rsid w:val="00503BDF"/>
    <w:rsid w:val="00507F04"/>
    <w:rsid w:val="00553E29"/>
    <w:rsid w:val="00555856"/>
    <w:rsid w:val="005812DF"/>
    <w:rsid w:val="005A2827"/>
    <w:rsid w:val="005A45D7"/>
    <w:rsid w:val="005B220C"/>
    <w:rsid w:val="005B6E72"/>
    <w:rsid w:val="005C46BE"/>
    <w:rsid w:val="005D3B16"/>
    <w:rsid w:val="005F6BA4"/>
    <w:rsid w:val="00614781"/>
    <w:rsid w:val="006412E7"/>
    <w:rsid w:val="006425ED"/>
    <w:rsid w:val="00667F86"/>
    <w:rsid w:val="006720A0"/>
    <w:rsid w:val="006E2441"/>
    <w:rsid w:val="006E3268"/>
    <w:rsid w:val="006F4D8C"/>
    <w:rsid w:val="00714248"/>
    <w:rsid w:val="0072346D"/>
    <w:rsid w:val="00744018"/>
    <w:rsid w:val="00761120"/>
    <w:rsid w:val="00761532"/>
    <w:rsid w:val="00761CC9"/>
    <w:rsid w:val="00774EB0"/>
    <w:rsid w:val="007858B1"/>
    <w:rsid w:val="007C0EC5"/>
    <w:rsid w:val="007E68C6"/>
    <w:rsid w:val="00802967"/>
    <w:rsid w:val="00811567"/>
    <w:rsid w:val="00813551"/>
    <w:rsid w:val="00854B7D"/>
    <w:rsid w:val="00861FEE"/>
    <w:rsid w:val="008634D8"/>
    <w:rsid w:val="00876888"/>
    <w:rsid w:val="00880252"/>
    <w:rsid w:val="00893DA4"/>
    <w:rsid w:val="008B507C"/>
    <w:rsid w:val="008D5799"/>
    <w:rsid w:val="008D67BD"/>
    <w:rsid w:val="008F1EDE"/>
    <w:rsid w:val="00920B01"/>
    <w:rsid w:val="00943739"/>
    <w:rsid w:val="0094596C"/>
    <w:rsid w:val="00950542"/>
    <w:rsid w:val="009667EC"/>
    <w:rsid w:val="00996E80"/>
    <w:rsid w:val="009A4405"/>
    <w:rsid w:val="009B58CB"/>
    <w:rsid w:val="009C006A"/>
    <w:rsid w:val="009C3FC6"/>
    <w:rsid w:val="009C58F4"/>
    <w:rsid w:val="009D584E"/>
    <w:rsid w:val="009E14BF"/>
    <w:rsid w:val="009E5928"/>
    <w:rsid w:val="009E6EC9"/>
    <w:rsid w:val="00A066AF"/>
    <w:rsid w:val="00A12C98"/>
    <w:rsid w:val="00A26248"/>
    <w:rsid w:val="00A7380D"/>
    <w:rsid w:val="00A81BC5"/>
    <w:rsid w:val="00A877E0"/>
    <w:rsid w:val="00A90EAC"/>
    <w:rsid w:val="00A91394"/>
    <w:rsid w:val="00AE2A55"/>
    <w:rsid w:val="00B04641"/>
    <w:rsid w:val="00B11D40"/>
    <w:rsid w:val="00B27843"/>
    <w:rsid w:val="00B40B8F"/>
    <w:rsid w:val="00B43827"/>
    <w:rsid w:val="00BA4E9E"/>
    <w:rsid w:val="00BF7504"/>
    <w:rsid w:val="00C032D2"/>
    <w:rsid w:val="00C344C8"/>
    <w:rsid w:val="00C6749E"/>
    <w:rsid w:val="00C70B97"/>
    <w:rsid w:val="00C75412"/>
    <w:rsid w:val="00C900DD"/>
    <w:rsid w:val="00C9456F"/>
    <w:rsid w:val="00CD6DFE"/>
    <w:rsid w:val="00D1432F"/>
    <w:rsid w:val="00D2002A"/>
    <w:rsid w:val="00D30117"/>
    <w:rsid w:val="00D419A0"/>
    <w:rsid w:val="00D80015"/>
    <w:rsid w:val="00D81178"/>
    <w:rsid w:val="00D872F3"/>
    <w:rsid w:val="00D94D62"/>
    <w:rsid w:val="00D96635"/>
    <w:rsid w:val="00DA0F83"/>
    <w:rsid w:val="00DA3F9B"/>
    <w:rsid w:val="00DC1B2A"/>
    <w:rsid w:val="00DC7E3F"/>
    <w:rsid w:val="00DE2572"/>
    <w:rsid w:val="00E06E08"/>
    <w:rsid w:val="00E13190"/>
    <w:rsid w:val="00E37242"/>
    <w:rsid w:val="00E559B2"/>
    <w:rsid w:val="00E748E1"/>
    <w:rsid w:val="00E8246B"/>
    <w:rsid w:val="00E83CA1"/>
    <w:rsid w:val="00E910A7"/>
    <w:rsid w:val="00E92F2C"/>
    <w:rsid w:val="00EA4822"/>
    <w:rsid w:val="00EA72F7"/>
    <w:rsid w:val="00EB098B"/>
    <w:rsid w:val="00EB1D54"/>
    <w:rsid w:val="00EC0163"/>
    <w:rsid w:val="00EC3408"/>
    <w:rsid w:val="00EC3727"/>
    <w:rsid w:val="00ED101D"/>
    <w:rsid w:val="00EE34E1"/>
    <w:rsid w:val="00EF0CB7"/>
    <w:rsid w:val="00EF2793"/>
    <w:rsid w:val="00EF7B50"/>
    <w:rsid w:val="00F02D85"/>
    <w:rsid w:val="00F03DB8"/>
    <w:rsid w:val="00F2645A"/>
    <w:rsid w:val="00F50FEC"/>
    <w:rsid w:val="00F81385"/>
    <w:rsid w:val="00F963A7"/>
    <w:rsid w:val="00FA643D"/>
    <w:rsid w:val="00FB3EA7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33A05"/>
  <w15:docId w15:val="{18D65756-BC4A-4993-84FA-1C9FDA8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C1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1466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4662"/>
    <w:rPr>
      <w:lang w:eastAsia="en-US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Címsor 5 Char1,Znak Znak Char,C26 Footnote Number,Footnote Reference_LVL65,Re,Ref,R"/>
    <w:rsid w:val="0041466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C8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76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8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68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8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688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77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77A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77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77A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E31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59EE"/>
    <w:pPr>
      <w:spacing w:after="0" w:line="240" w:lineRule="auto"/>
      <w:ind w:left="720"/>
      <w:contextualSpacing/>
    </w:pPr>
    <w:rPr>
      <w:rFonts w:eastAsia="MS PGothic"/>
      <w:szCs w:val="24"/>
    </w:rPr>
  </w:style>
  <w:style w:type="paragraph" w:customStyle="1" w:styleId="Default">
    <w:name w:val="Default"/>
    <w:rsid w:val="001C133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040E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3011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01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101D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B27843"/>
    <w:pPr>
      <w:spacing w:after="120" w:line="240" w:lineRule="auto"/>
      <w:ind w:left="283"/>
    </w:pPr>
    <w:rPr>
      <w:rFonts w:ascii="Arial" w:eastAsia="Times New Roman" w:hAnsi="Arial" w:cs="Arial"/>
      <w:w w:val="110"/>
      <w:sz w:val="16"/>
      <w:szCs w:val="16"/>
      <w:lang w:val="el-GR"/>
    </w:rPr>
  </w:style>
  <w:style w:type="character" w:customStyle="1" w:styleId="BodyTextIndent3Char">
    <w:name w:val="Body Text Indent 3 Char"/>
    <w:basedOn w:val="DefaultParagraphFont"/>
    <w:link w:val="BodyTextIndent3"/>
    <w:rsid w:val="00B27843"/>
    <w:rPr>
      <w:rFonts w:ascii="Arial" w:eastAsia="Times New Roman" w:hAnsi="Arial" w:cs="Arial"/>
      <w:w w:val="110"/>
      <w:sz w:val="16"/>
      <w:szCs w:val="16"/>
      <w:lang w:val="el-GR" w:eastAsia="en-US"/>
    </w:rPr>
  </w:style>
  <w:style w:type="character" w:styleId="Emphasis">
    <w:name w:val="Emphasis"/>
    <w:basedOn w:val="DefaultParagraphFont"/>
    <w:uiPriority w:val="20"/>
    <w:qFormat/>
    <w:rsid w:val="00C70B9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C1B2A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b.europa.eu/pub/pdf/other/ecb.200428_framework_to_assess_cross-border_spillovers_of_macroprudential_policies~72576c7b4e.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psilon.escb.eu/limesurvey3/3515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ropru.notifications@ecb.europa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0E3264E2494F9EA95B62CBBBC8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B9A0-EBBD-4C1D-89F8-72C854551E39}"/>
      </w:docPartPr>
      <w:docPartBody>
        <w:p w:rsidR="003663C7" w:rsidRDefault="00050126" w:rsidP="00050126">
          <w:pPr>
            <w:pStyle w:val="2C0E3264E2494F9EA95B62CBBBC88894"/>
          </w:pPr>
          <w:r w:rsidRPr="001B3F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B58034EA3C499E84CD60A7A482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D7436-9423-4770-8B37-C65A5A2A3F9C}"/>
      </w:docPartPr>
      <w:docPartBody>
        <w:p w:rsidR="003663C7" w:rsidRDefault="00050126" w:rsidP="00050126">
          <w:pPr>
            <w:pStyle w:val="7CB58034EA3C499E84CD60A7A4822692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24"/>
    <w:rsid w:val="00050126"/>
    <w:rsid w:val="0005331D"/>
    <w:rsid w:val="000632CD"/>
    <w:rsid w:val="000C2449"/>
    <w:rsid w:val="0012793C"/>
    <w:rsid w:val="00195B39"/>
    <w:rsid w:val="001D365E"/>
    <w:rsid w:val="001F0394"/>
    <w:rsid w:val="00235051"/>
    <w:rsid w:val="002823BF"/>
    <w:rsid w:val="002C0072"/>
    <w:rsid w:val="002D2A19"/>
    <w:rsid w:val="002D62B5"/>
    <w:rsid w:val="003327A2"/>
    <w:rsid w:val="00332EA5"/>
    <w:rsid w:val="003663C7"/>
    <w:rsid w:val="00421397"/>
    <w:rsid w:val="00430E17"/>
    <w:rsid w:val="0046544C"/>
    <w:rsid w:val="004B0D04"/>
    <w:rsid w:val="00680B47"/>
    <w:rsid w:val="006F7658"/>
    <w:rsid w:val="00744BCA"/>
    <w:rsid w:val="00755055"/>
    <w:rsid w:val="00810B53"/>
    <w:rsid w:val="008E7734"/>
    <w:rsid w:val="009235A4"/>
    <w:rsid w:val="00935024"/>
    <w:rsid w:val="0094663C"/>
    <w:rsid w:val="00971558"/>
    <w:rsid w:val="009D46A4"/>
    <w:rsid w:val="00A104BE"/>
    <w:rsid w:val="00A21853"/>
    <w:rsid w:val="00A51FC6"/>
    <w:rsid w:val="00AB375B"/>
    <w:rsid w:val="00AF3D44"/>
    <w:rsid w:val="00BE7AB8"/>
    <w:rsid w:val="00C50987"/>
    <w:rsid w:val="00D3725C"/>
    <w:rsid w:val="00D46820"/>
    <w:rsid w:val="00D479FE"/>
    <w:rsid w:val="00D63221"/>
    <w:rsid w:val="00DD4F3A"/>
    <w:rsid w:val="00E0031F"/>
    <w:rsid w:val="00F14717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126"/>
  </w:style>
  <w:style w:type="paragraph" w:customStyle="1" w:styleId="2C0E3264E2494F9EA95B62CBBBC88894">
    <w:name w:val="2C0E3264E2494F9EA95B62CBBBC88894"/>
    <w:rsid w:val="00050126"/>
  </w:style>
  <w:style w:type="paragraph" w:customStyle="1" w:styleId="7CB58034EA3C499E84CD60A7A4822692">
    <w:name w:val="7CB58034EA3C499E84CD60A7A4822692"/>
    <w:rsid w:val="00050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343E-3425-4371-A5AA-341FF49C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907</Words>
  <Characters>5172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notification under Article 136 CRD (Countercyclical Capital Buffer)</dc:title>
  <dc:creator/>
  <cp:lastModifiedBy>Forcellese, Lavinia</cp:lastModifiedBy>
  <cp:revision>26</cp:revision>
  <dcterms:created xsi:type="dcterms:W3CDTF">2021-07-12T13:54:00Z</dcterms:created>
  <dcterms:modified xsi:type="dcterms:W3CDTF">2021-09-29T13:33:00Z</dcterms:modified>
</cp:coreProperties>
</file>